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1C5F6" w14:textId="77777777" w:rsidR="003F76EA" w:rsidRPr="00745CC2" w:rsidRDefault="003F76EA" w:rsidP="003F76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Coreference Guidelines</w:t>
      </w:r>
    </w:p>
    <w:p w14:paraId="7AB42A28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9"/>
        <w:gridCol w:w="2939"/>
        <w:gridCol w:w="2345"/>
      </w:tblGrid>
      <w:tr w:rsidR="003F76EA" w:rsidRPr="00745CC2" w14:paraId="7C0883D5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C23EC8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coreference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EF8167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إشارة متبادلة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444B45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הוראה משותפת</w:t>
            </w:r>
          </w:p>
        </w:tc>
      </w:tr>
      <w:tr w:rsidR="003F76EA" w:rsidRPr="00745CC2" w14:paraId="5C60AB20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B6868D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antecedent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54B8F3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اسم سابق يعود عليه ضمير لاحق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3480124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קודמן</w:t>
            </w:r>
          </w:p>
        </w:tc>
      </w:tr>
      <w:tr w:rsidR="003F76EA" w:rsidRPr="00745CC2" w14:paraId="2659EE76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391DDCB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pronoun, anaphora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F66F32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ضمير، ضمير انعكاسي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214785A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כינוי חבור, אנאפורה</w:t>
            </w:r>
          </w:p>
        </w:tc>
      </w:tr>
      <w:tr w:rsidR="003F76EA" w:rsidRPr="00745CC2" w14:paraId="05B8542E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31DEF92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cataphora/cataphoric pronoun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7C918E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ضمير يسبق الاسم الذي يعود عليه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E89C12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אזכור לְפָנִים, קטאפורה</w:t>
            </w:r>
          </w:p>
        </w:tc>
      </w:tr>
      <w:tr w:rsidR="003F76EA" w:rsidRPr="00745CC2" w14:paraId="5A217AC9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B8222EF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apposition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82E379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بَدَل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A5D58B9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תמורה, ביטוי תמורה</w:t>
            </w:r>
          </w:p>
        </w:tc>
      </w:tr>
      <w:tr w:rsidR="003F76EA" w:rsidRPr="00745CC2" w14:paraId="1DD2186D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705918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ellipsis, zero-anaphora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E16D305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حذف نحوي، ضمير محذوف/مستتر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AA56D6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הֶשְׁמֵט</w:t>
            </w:r>
          </w:p>
        </w:tc>
      </w:tr>
      <w:tr w:rsidR="003F76EA" w:rsidRPr="00745CC2" w14:paraId="0EE28CD8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FFFC86B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index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2B87AE7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مؤشّر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A4FB513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צַיָּן, אִינְדֵּקְס</w:t>
            </w:r>
          </w:p>
        </w:tc>
      </w:tr>
      <w:tr w:rsidR="003F76EA" w:rsidRPr="00745CC2" w14:paraId="3700136E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420660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mention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3FB446E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ذِكر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97CE23D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אזכור</w:t>
            </w:r>
          </w:p>
        </w:tc>
      </w:tr>
      <w:tr w:rsidR="003F76EA" w:rsidRPr="00745CC2" w14:paraId="7CBC9530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F63190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nominalization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7D8298B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مصدر الفعل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BE973A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העצמה</w:t>
            </w:r>
          </w:p>
        </w:tc>
      </w:tr>
      <w:tr w:rsidR="003F76EA" w:rsidRPr="00745CC2" w14:paraId="1816250E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B43BDC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NP - noun phrase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26956A4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مركّب اسميّ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E2DA4BF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צירוף שמני</w:t>
            </w:r>
          </w:p>
        </w:tc>
      </w:tr>
      <w:tr w:rsidR="003F76EA" w:rsidRPr="00745CC2" w14:paraId="19B2F865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98529E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deictic element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2A64AA6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"عنصر إشاريّ"، يعتمد على السياق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08A6E37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ישות דאיקטית</w:t>
            </w:r>
          </w:p>
        </w:tc>
      </w:tr>
      <w:tr w:rsidR="003F76EA" w:rsidRPr="00745CC2" w14:paraId="0625BEDE" w14:textId="77777777" w:rsidTr="003F76EA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EFFEF5" w14:textId="77777777" w:rsidR="003F76EA" w:rsidRPr="00745CC2" w:rsidRDefault="003F76EA" w:rsidP="003F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quantifier, quantification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F149C52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مُكمّم، تكميم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BDF326" w14:textId="77777777" w:rsidR="003F76EA" w:rsidRPr="00745CC2" w:rsidRDefault="003F76EA" w:rsidP="003F76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745C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:lang w:bidi="he-IL"/>
                <w14:ligatures w14:val="none"/>
              </w:rPr>
              <w:t>כמת</w:t>
            </w:r>
          </w:p>
        </w:tc>
      </w:tr>
    </w:tbl>
    <w:p w14:paraId="7117F7C1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3F888E4A" w14:textId="77777777" w:rsidR="003F76EA" w:rsidRPr="00745CC2" w:rsidRDefault="003F76EA" w:rsidP="003F76EA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The aim of this project is to collect data on the way context is constructed and used in natural language, particularly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with regard to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anaphoric reference and deictic reference.</w:t>
      </w:r>
    </w:p>
    <w:p w14:paraId="74C78B5D" w14:textId="77777777" w:rsidR="003F76EA" w:rsidRPr="00745CC2" w:rsidRDefault="003F76EA" w:rsidP="003F76EA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Some basic concepts in syntax:</w:t>
      </w:r>
    </w:p>
    <w:p w14:paraId="263A70DD" w14:textId="77777777" w:rsidR="003F76EA" w:rsidRPr="00745CC2" w:rsidRDefault="003F76EA" w:rsidP="003F76EA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Index: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 number that aims to clarify the relations between nouns and pronouns. Two morphemes that share the same index refer to the same entity.</w:t>
      </w:r>
    </w:p>
    <w:p w14:paraId="2B088E5A" w14:textId="77777777" w:rsidR="003F76EA" w:rsidRPr="00745CC2" w:rsidRDefault="003F76EA" w:rsidP="003F76EA">
      <w:pPr>
        <w:numPr>
          <w:ilvl w:val="0"/>
          <w:numId w:val="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أحبت [الطالبة]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[أخت[ها]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المجتهدة، [سامية]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</w:t>
      </w:r>
    </w:p>
    <w:p w14:paraId="0249D1CA" w14:textId="77777777" w:rsidR="003F76EA" w:rsidRPr="00745CC2" w:rsidRDefault="003F76EA" w:rsidP="003F76EA">
      <w:pPr>
        <w:numPr>
          <w:ilvl w:val="0"/>
          <w:numId w:val="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يعتقد [زيد]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أن [سميرة]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تحب أن تساعد [__]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في عملـ[ـه]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 </w:t>
      </w:r>
    </w:p>
    <w:p w14:paraId="6501E39C" w14:textId="77777777" w:rsidR="003F76EA" w:rsidRPr="00745CC2" w:rsidRDefault="003F76EA" w:rsidP="003F76EA">
      <w:pPr>
        <w:numPr>
          <w:ilvl w:val="0"/>
          <w:numId w:val="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جمعية الصليب الأحمر قدمت هدية لـ[لطبيبة]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التي قال الصحفيون أنـ[ـها]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ساعدت الجرحى.</w:t>
      </w:r>
    </w:p>
    <w:p w14:paraId="1485BE7B" w14:textId="77777777" w:rsidR="003F76EA" w:rsidRPr="00745CC2" w:rsidRDefault="003F76EA" w:rsidP="003F76EA">
      <w:pPr>
        <w:numPr>
          <w:ilvl w:val="0"/>
          <w:numId w:val="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התלמידה]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אוהבת את [אחות]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החרוצה, [יסמין]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</w:p>
    <w:p w14:paraId="69E920E4" w14:textId="77777777" w:rsidR="003F76EA" w:rsidRPr="00745CC2" w:rsidRDefault="003F76EA" w:rsidP="003F76EA">
      <w:pPr>
        <w:numPr>
          <w:ilvl w:val="0"/>
          <w:numId w:val="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גדעון]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חושב ש[סמירה]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תשמח [__]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לעזור ל[ו]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בעבודת[ו]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</w:t>
      </w:r>
    </w:p>
    <w:p w14:paraId="2F9FAB1D" w14:textId="77777777" w:rsidR="003F76EA" w:rsidRPr="00745CC2" w:rsidRDefault="003F76EA" w:rsidP="003F76EA">
      <w:pPr>
        <w:numPr>
          <w:ilvl w:val="0"/>
          <w:numId w:val="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שרון]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הבטיח ל[רקפת]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ש[הוא]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בא ל[מסיבה]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3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של[ה]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ש[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__]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 xml:space="preserve">3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מתוכננת למחר</w:t>
      </w:r>
    </w:p>
    <w:p w14:paraId="1B743AAC" w14:textId="77777777" w:rsidR="003F76EA" w:rsidRPr="00745CC2" w:rsidRDefault="003F76EA" w:rsidP="003F76EA">
      <w:pPr>
        <w:numPr>
          <w:ilvl w:val="0"/>
          <w:numId w:val="2"/>
        </w:numPr>
        <w:bidi/>
        <w:spacing w:before="100" w:beforeAutospacing="1" w:after="100" w:afterAutospacing="1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</w:p>
    <w:p w14:paraId="54FBA8BB" w14:textId="77777777" w:rsidR="003F76EA" w:rsidRPr="00745CC2" w:rsidRDefault="003F76EA" w:rsidP="003F76EA">
      <w:pPr>
        <w:numPr>
          <w:ilvl w:val="0"/>
          <w:numId w:val="3"/>
        </w:numPr>
        <w:spacing w:after="0" w:line="240" w:lineRule="auto"/>
        <w:ind w:left="425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Antecedent: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generally, an antecedent is a noun phrase (NP) headed by a common noun, proper noun, or a pronoun and it refers to a specific entity in context. Subsequent NPs such as the pronoun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هو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" and the clitic pronouns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ـه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" as in the first example refer to the definite NP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كيس البطاطا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".</w:t>
      </w:r>
    </w:p>
    <w:p w14:paraId="5584FC60" w14:textId="77777777" w:rsidR="003F76EA" w:rsidRPr="00745CC2" w:rsidRDefault="003F76EA" w:rsidP="003F76EA">
      <w:pPr>
        <w:numPr>
          <w:ilvl w:val="0"/>
          <w:numId w:val="4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يجب أن تحمل [كيس البطاطا]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وأن تضعـ[ـه]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في الثلاجة. احذر فـ[هو]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ثقيل. </w:t>
      </w:r>
    </w:p>
    <w:p w14:paraId="69D2E509" w14:textId="77777777" w:rsidR="003F76EA" w:rsidRPr="00745CC2" w:rsidRDefault="003F76EA" w:rsidP="003F76EA">
      <w:pPr>
        <w:numPr>
          <w:ilvl w:val="0"/>
          <w:numId w:val="4"/>
        </w:numPr>
        <w:bidi/>
        <w:spacing w:after="0" w:line="240" w:lineRule="auto"/>
        <w:ind w:right="-52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ستشهد [فكتوريا تشن]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، المديرة المالية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ل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Megabucks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Banking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، ارتفاعًا ملحوظًا في راتبـ[ـها]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بعد توليـ[ـها]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المنصب.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Jurafsky and Martin, 2023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5AA97544" w14:textId="77777777" w:rsidR="003F76EA" w:rsidRPr="00745CC2" w:rsidRDefault="003F76EA" w:rsidP="003F76EA">
      <w:pPr>
        <w:numPr>
          <w:ilvl w:val="0"/>
          <w:numId w:val="4"/>
        </w:numPr>
        <w:bidi/>
        <w:spacing w:after="0" w:line="240" w:lineRule="auto"/>
        <w:ind w:right="-52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אתה צריך לקחת את [שק תפוחי האדמה הזה]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ולהכניס אות[ו]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למזווה. תיזהר, [זה]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אחד כבד.</w:t>
      </w:r>
    </w:p>
    <w:p w14:paraId="32049A3B" w14:textId="77777777" w:rsidR="003F76EA" w:rsidRPr="00745CC2" w:rsidRDefault="003F76EA" w:rsidP="003F76EA">
      <w:pPr>
        <w:numPr>
          <w:ilvl w:val="0"/>
          <w:numId w:val="4"/>
        </w:numPr>
        <w:bidi/>
        <w:spacing w:line="240" w:lineRule="auto"/>
        <w:ind w:right="-52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ויקטוריה צ'ן]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,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סמנכ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לית הכספים של [מגאבקס בנקינג]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,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תראה עלייה משמעותית בשכר של[ה]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לאחר ההשתלטות על [החברה]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</w:t>
      </w:r>
    </w:p>
    <w:p w14:paraId="759D8BD1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3809CE95" w14:textId="77777777" w:rsidR="003F76EA" w:rsidRPr="00745CC2" w:rsidRDefault="003F76EA" w:rsidP="003F76EA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Anaphora: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this category encompasses all types of pronouns; nominative subject pronouns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هو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), accusative/genitive clitics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ـه، ني، ـها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), reflexives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نفسي، نفسه، أنفسهم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), or separate accusative pronouns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إياه، إياي، إياكم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) that follow the NP with which they corefer.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  <w:t xml:space="preserve">Anaphoras are called "context-dependent entities"; understanding them and analyzing their relation to the other entities mentioned before usually depends on the context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lastRenderedPageBreak/>
        <w:t>and on the previous NP to which they refer, directly or indirectly. It is also called a "deictic element" because it refers to/points at a single, context-specific NP.</w:t>
      </w:r>
    </w:p>
    <w:p w14:paraId="6B46F521" w14:textId="77777777" w:rsidR="003F76EA" w:rsidRPr="00745CC2" w:rsidRDefault="003F76EA" w:rsidP="003F76EA">
      <w:pPr>
        <w:numPr>
          <w:ilvl w:val="0"/>
          <w:numId w:val="6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بعد أن توفي الشاعر [محمود درويش]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، بدأت بقراءة قصائد[ه]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</w:t>
      </w:r>
    </w:p>
    <w:p w14:paraId="1C36EC60" w14:textId="77777777" w:rsidR="003F76EA" w:rsidRPr="00745CC2" w:rsidRDefault="003F76EA" w:rsidP="003F76EA">
      <w:pPr>
        <w:numPr>
          <w:ilvl w:val="0"/>
          <w:numId w:val="6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[الكثيرون]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اعتبرو[ه]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[منقذًا]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لـ[هم]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PREDICATIVE (to do)</w:t>
      </w:r>
    </w:p>
    <w:p w14:paraId="0216DC3F" w14:textId="77777777" w:rsidR="003F76EA" w:rsidRPr="00745CC2" w:rsidRDefault="003F76EA" w:rsidP="003F76EA">
      <w:pPr>
        <w:numPr>
          <w:ilvl w:val="0"/>
          <w:numId w:val="6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رأت أم [الرجل]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[ابنتـ[ـه]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و[هي]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تسقط أرضًا.</w:t>
      </w:r>
    </w:p>
    <w:p w14:paraId="420C074C" w14:textId="77777777" w:rsidR="003F76EA" w:rsidRPr="00745CC2" w:rsidRDefault="003F76EA" w:rsidP="003F76EA">
      <w:pPr>
        <w:numPr>
          <w:ilvl w:val="0"/>
          <w:numId w:val="6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قالت [شركة إلكو]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أنـ[ـها]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تتوقع أن تُقدّر أرباحـ[ـها]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ب1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.65 مليون دولار. </w:t>
      </w:r>
    </w:p>
    <w:p w14:paraId="6280C11B" w14:textId="77777777" w:rsidR="003F76EA" w:rsidRPr="00745CC2" w:rsidRDefault="003F76EA" w:rsidP="003F76EA">
      <w:pPr>
        <w:numPr>
          <w:ilvl w:val="0"/>
          <w:numId w:val="6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לאחר שהמשורר [מחמוד דרוויש]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נפטר, התחלתי לקרוא את שירי[ו]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</w:t>
      </w:r>
    </w:p>
    <w:p w14:paraId="007D1921" w14:textId="77777777" w:rsidR="003F76EA" w:rsidRPr="00745CC2" w:rsidRDefault="003F76EA" w:rsidP="003F76EA">
      <w:pPr>
        <w:numPr>
          <w:ilvl w:val="0"/>
          <w:numId w:val="6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אמ[ו]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של [אמנון]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 xml:space="preserve">1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ראתה את [בת]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בדרכ[ה]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אל בית הספר.</w:t>
      </w:r>
    </w:p>
    <w:p w14:paraId="5A39C52D" w14:textId="77777777" w:rsidR="003F76EA" w:rsidRPr="00745CC2" w:rsidRDefault="003F76EA" w:rsidP="003F76EA">
      <w:pPr>
        <w:numPr>
          <w:ilvl w:val="0"/>
          <w:numId w:val="6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מ[החברה]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נמסר כי רווחי[ה]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יעמדו על 1.65 מיליון דולר.</w:t>
      </w:r>
    </w:p>
    <w:p w14:paraId="754E4668" w14:textId="77777777" w:rsidR="003F76EA" w:rsidRPr="00745CC2" w:rsidRDefault="003F76EA" w:rsidP="003F76EA">
      <w:pPr>
        <w:numPr>
          <w:ilvl w:val="0"/>
          <w:numId w:val="6"/>
        </w:numPr>
        <w:bidi/>
        <w:spacing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רבים]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רואים ב[ו]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המושיע]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של[הם]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PREDICATIVE</w:t>
      </w:r>
    </w:p>
    <w:p w14:paraId="56F00123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0687135" w14:textId="77777777" w:rsidR="003F76EA" w:rsidRPr="00745CC2" w:rsidRDefault="003F76EA" w:rsidP="003F76EA">
      <w:pPr>
        <w:numPr>
          <w:ilvl w:val="0"/>
          <w:numId w:val="7"/>
        </w:numPr>
        <w:spacing w:after="0" w:line="240" w:lineRule="auto"/>
        <w:ind w:left="425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Cataphora: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 special case of pronouns that precede the noun with which they corefer, usually because of a syntactic movement—the movement of part of a sentence to the beginning.</w:t>
      </w:r>
    </w:p>
    <w:p w14:paraId="51CBE1C2" w14:textId="77777777" w:rsidR="003F76EA" w:rsidRPr="00745CC2" w:rsidRDefault="003F76EA" w:rsidP="003F76EA">
      <w:pPr>
        <w:numPr>
          <w:ilvl w:val="0"/>
          <w:numId w:val="8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بعد تلقيـ[ـها]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بلاغًا عن بائعي مخدرات، حضرت [الشرطة]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إلى المكان المشبوه.</w:t>
      </w:r>
    </w:p>
    <w:p w14:paraId="15A0B1B6" w14:textId="77777777" w:rsidR="003F76EA" w:rsidRPr="00745CC2" w:rsidRDefault="003F76EA" w:rsidP="003F76EA">
      <w:pPr>
        <w:numPr>
          <w:ilvl w:val="0"/>
          <w:numId w:val="8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قبل ذهابـ[ـه]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إلى القمة العربية، حضر [الرئيس]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اجتماعًا هامًا في رام الله.</w:t>
      </w:r>
    </w:p>
    <w:p w14:paraId="50CE4B9D" w14:textId="77777777" w:rsidR="003F76EA" w:rsidRPr="00745CC2" w:rsidRDefault="003F76EA" w:rsidP="003F76EA">
      <w:pPr>
        <w:numPr>
          <w:ilvl w:val="0"/>
          <w:numId w:val="8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כל פעם ש[הוא]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צריך לשלם במסעדה, [פנחס]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מעמיד פנים שהוא שכח את הארנק.</w:t>
      </w:r>
    </w:p>
    <w:p w14:paraId="15379E3B" w14:textId="77777777" w:rsidR="003F76EA" w:rsidRPr="00745CC2" w:rsidRDefault="003F76EA" w:rsidP="003F76EA">
      <w:pPr>
        <w:numPr>
          <w:ilvl w:val="0"/>
          <w:numId w:val="8"/>
        </w:numPr>
        <w:bidi/>
        <w:spacing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לפני ש[הוא]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נסע לפסגה הערבית, [הנשיא]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השתתף בפגישה חשובה ברמאללה.</w:t>
      </w:r>
    </w:p>
    <w:p w14:paraId="11BDE8E5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3D9C5A28" w14:textId="77777777" w:rsidR="003F76EA" w:rsidRPr="00745CC2" w:rsidRDefault="003F76EA" w:rsidP="003F76EA">
      <w:pPr>
        <w:numPr>
          <w:ilvl w:val="0"/>
          <w:numId w:val="9"/>
        </w:numPr>
        <w:spacing w:after="0" w:line="240" w:lineRule="auto"/>
        <w:ind w:left="425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Ellipsis, zero-anaphora: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this type of pronoun is usually omitted due to the conjugation of the verb as in the first and second examples; the conjugation of the jussive verb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تكون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" and the imperative verb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ساعِد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" obviates the mention of the pronouns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هي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" and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أنتَ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". In generative linguistics, the deleted pronoun is called PRO.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</w:p>
    <w:p w14:paraId="323B7684" w14:textId="77777777" w:rsidR="003F76EA" w:rsidRPr="00745CC2" w:rsidRDefault="003F76EA" w:rsidP="003F76EA">
      <w:pPr>
        <w:numPr>
          <w:ilvl w:val="0"/>
          <w:numId w:val="10"/>
        </w:numPr>
        <w:bidi/>
        <w:spacing w:after="0" w:line="240" w:lineRule="auto"/>
        <w:ind w:right="89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رشَّح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 xml:space="preserve">أوباما </w:t>
      </w:r>
      <w:r w:rsidRPr="00745CC2">
        <w:rPr>
          <w:rFonts w:ascii="Arial" w:eastAsia="Times New Roman" w:hAnsi="Arial" w:cs="Arial"/>
          <w:color w:val="4A86E8"/>
          <w:kern w:val="0"/>
          <w:sz w:val="24"/>
          <w:szCs w:val="24"/>
          <w:rtl/>
          <w14:ligatures w14:val="none"/>
        </w:rPr>
        <w:t xml:space="preserve">كلينتون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ل___تكون </w:t>
      </w:r>
      <w:r w:rsidRPr="00745CC2">
        <w:rPr>
          <w:rFonts w:ascii="Arial" w:eastAsia="Times New Roman" w:hAnsi="Arial" w:cs="Arial"/>
          <w:color w:val="4A86E8"/>
          <w:kern w:val="0"/>
          <w:sz w:val="24"/>
          <w:szCs w:val="24"/>
          <w:rtl/>
          <w14:ligatures w14:val="none"/>
        </w:rPr>
        <w:t xml:space="preserve">__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وزيرة خارجيته يوم الإثنين. اختارها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 xml:space="preserve"> __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لأنها ذات خبرة في مجال الشؤون الخارجية.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Al-Oraini et. al, 2020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2E3E7275" w14:textId="77777777" w:rsidR="003F76EA" w:rsidRPr="00745CC2" w:rsidRDefault="003F76EA" w:rsidP="003F76EA">
      <w:pPr>
        <w:numPr>
          <w:ilvl w:val="0"/>
          <w:numId w:val="10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ساعِد __ الناس! (فعل أمر، الضمير "أنت" محذوف)</w:t>
      </w:r>
    </w:p>
    <w:p w14:paraId="2CB9B770" w14:textId="77777777" w:rsidR="003F76EA" w:rsidRPr="00745CC2" w:rsidRDefault="003F76EA" w:rsidP="003F76EA">
      <w:pPr>
        <w:numPr>
          <w:ilvl w:val="0"/>
          <w:numId w:val="10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تمنى </w:t>
      </w:r>
      <w:r w:rsidRPr="00745CC2">
        <w:rPr>
          <w:rFonts w:ascii="Arial" w:eastAsia="Times New Roman" w:hAnsi="Arial" w:cs="Arial"/>
          <w:color w:val="4A86E8"/>
          <w:kern w:val="0"/>
          <w:sz w:val="24"/>
          <w:szCs w:val="24"/>
          <w:rtl/>
          <w14:ligatures w14:val="none"/>
        </w:rPr>
        <w:t xml:space="preserve">المعلم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أن يكتب </w:t>
      </w:r>
      <w:r w:rsidRPr="00745CC2">
        <w:rPr>
          <w:rFonts w:ascii="Arial" w:eastAsia="Times New Roman" w:hAnsi="Arial" w:cs="Arial"/>
          <w:color w:val="4A86E8"/>
          <w:kern w:val="0"/>
          <w:sz w:val="24"/>
          <w:szCs w:val="24"/>
          <w:rtl/>
          <w14:ligatures w14:val="none"/>
        </w:rPr>
        <w:t xml:space="preserve">__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النص.</w:t>
      </w:r>
    </w:p>
    <w:p w14:paraId="6BBF21B8" w14:textId="77777777" w:rsidR="003F76EA" w:rsidRPr="00745CC2" w:rsidRDefault="003F76EA" w:rsidP="003F76EA">
      <w:pPr>
        <w:numPr>
          <w:ilvl w:val="0"/>
          <w:numId w:val="10"/>
        </w:numPr>
        <w:bidi/>
        <w:spacing w:after="0" w:line="240" w:lineRule="auto"/>
        <w:ind w:right="89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ذهب [بوش]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إلى موسكو لمقابلة [بوتين]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وتناقش [__]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معـ[ـه]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في عدة مواضيع مهمة وأشار [__]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إلى أهمية العلاقات الأمريكية-الروسية.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Al-Oraini et. al, 2022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1E7D8E7A" w14:textId="77777777" w:rsidR="003F76EA" w:rsidRPr="00745CC2" w:rsidRDefault="003F76EA" w:rsidP="003F76EA">
      <w:pPr>
        <w:numPr>
          <w:ilvl w:val="0"/>
          <w:numId w:val="10"/>
        </w:numPr>
        <w:bidi/>
        <w:spacing w:after="0" w:line="240" w:lineRule="auto"/>
        <w:ind w:right="89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היום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4A86E8"/>
          <w:kern w:val="0"/>
          <w:sz w:val="24"/>
          <w:szCs w:val="24"/>
          <w:rtl/>
          <w:lang w:bidi="he-IL"/>
          <w14:ligatures w14:val="none"/>
        </w:rPr>
        <w:t>הצעירים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חכמים יותר -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b/>
          <w:bCs/>
          <w:color w:val="4A86E8"/>
          <w:kern w:val="0"/>
          <w:sz w:val="24"/>
          <w:szCs w:val="24"/>
          <w:rtl/>
          <w14:ligatures w14:val="none"/>
        </w:rPr>
        <w:t>__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כבר לא הולכים להוראה.</w:t>
      </w:r>
    </w:p>
    <w:p w14:paraId="51CF90E5" w14:textId="77777777" w:rsidR="003F76EA" w:rsidRPr="00745CC2" w:rsidRDefault="003F76EA" w:rsidP="003F76EA">
      <w:pPr>
        <w:numPr>
          <w:ilvl w:val="0"/>
          <w:numId w:val="10"/>
        </w:numPr>
        <w:bidi/>
        <w:spacing w:after="0" w:line="240" w:lineRule="auto"/>
        <w:ind w:right="89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ארגון הצלב האדום העניק פרס ל[</w:t>
      </w:r>
      <w:r w:rsidRPr="00745CC2">
        <w:rPr>
          <w:rFonts w:ascii="Arial" w:eastAsia="Times New Roman" w:hAnsi="Arial" w:cs="Arial"/>
          <w:color w:val="3C78D8"/>
          <w:kern w:val="0"/>
          <w:sz w:val="24"/>
          <w:szCs w:val="24"/>
          <w:rtl/>
          <w:lang w:bidi="he-IL"/>
          <w14:ligatures w14:val="none"/>
        </w:rPr>
        <w:t>רופאה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]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שהעיתונאים אמרו ש[</w:t>
      </w:r>
      <w:r w:rsidRPr="00745CC2">
        <w:rPr>
          <w:rFonts w:ascii="Arial" w:eastAsia="Times New Roman" w:hAnsi="Arial" w:cs="Arial"/>
          <w:b/>
          <w:bCs/>
          <w:color w:val="3C78D8"/>
          <w:kern w:val="0"/>
          <w:sz w:val="24"/>
          <w:szCs w:val="24"/>
          <w:rtl/>
          <w14:ligatures w14:val="none"/>
        </w:rPr>
        <w:t>__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עזרה לפצועים.</w:t>
      </w:r>
    </w:p>
    <w:p w14:paraId="22F69256" w14:textId="77777777" w:rsidR="003F76EA" w:rsidRPr="00745CC2" w:rsidRDefault="003F76EA" w:rsidP="003F76EA">
      <w:pPr>
        <w:numPr>
          <w:ilvl w:val="0"/>
          <w:numId w:val="10"/>
        </w:numPr>
        <w:bidi/>
        <w:spacing w:after="0" w:line="240" w:lineRule="auto"/>
        <w:ind w:right="89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גרשון]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חושב ש[</w:t>
      </w:r>
      <w:r w:rsidRPr="00745CC2">
        <w:rPr>
          <w:rFonts w:ascii="Arial" w:eastAsia="Times New Roman" w:hAnsi="Arial" w:cs="Arial"/>
          <w:color w:val="4A86E8"/>
          <w:kern w:val="0"/>
          <w:sz w:val="24"/>
          <w:szCs w:val="24"/>
          <w:rtl/>
          <w:lang w:bidi="he-IL"/>
          <w14:ligatures w14:val="none"/>
        </w:rPr>
        <w:t>סמירה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תשמח [</w:t>
      </w:r>
      <w:r w:rsidRPr="00745CC2">
        <w:rPr>
          <w:rFonts w:ascii="Arial" w:eastAsia="Times New Roman" w:hAnsi="Arial" w:cs="Arial"/>
          <w:b/>
          <w:bCs/>
          <w:color w:val="4A86E8"/>
          <w:kern w:val="0"/>
          <w:sz w:val="24"/>
          <w:szCs w:val="24"/>
          <w:rtl/>
          <w14:ligatures w14:val="none"/>
        </w:rPr>
        <w:t>__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לעזור ל[ו]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בעבודת[ו]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</w:t>
      </w:r>
    </w:p>
    <w:p w14:paraId="6858AB5B" w14:textId="77777777" w:rsidR="003F76EA" w:rsidRPr="00745CC2" w:rsidRDefault="003F76EA" w:rsidP="003F76EA">
      <w:pPr>
        <w:numPr>
          <w:ilvl w:val="0"/>
          <w:numId w:val="10"/>
        </w:numPr>
        <w:bidi/>
        <w:spacing w:line="240" w:lineRule="auto"/>
        <w:ind w:right="89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כש[</w:t>
      </w:r>
      <w:r w:rsidRPr="00745CC2">
        <w:rPr>
          <w:rFonts w:ascii="Arial" w:eastAsia="Times New Roman" w:hAnsi="Arial" w:cs="Arial"/>
          <w:b/>
          <w:bCs/>
          <w:color w:val="6D9EEB"/>
          <w:kern w:val="0"/>
          <w:sz w:val="24"/>
          <w:szCs w:val="24"/>
          <w:rtl/>
          <w14:ligatures w14:val="none"/>
        </w:rPr>
        <w:t>__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ראה את החשבון, [</w:t>
      </w:r>
      <w:r w:rsidRPr="00745CC2">
        <w:rPr>
          <w:rFonts w:ascii="Arial" w:eastAsia="Times New Roman" w:hAnsi="Arial" w:cs="Arial"/>
          <w:color w:val="3C78D8"/>
          <w:kern w:val="0"/>
          <w:sz w:val="24"/>
          <w:szCs w:val="24"/>
          <w:rtl/>
          <w:lang w:bidi="he-IL"/>
          <w14:ligatures w14:val="none"/>
        </w:rPr>
        <w:t>פנחס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העמיד פנים שהוא שכח את הארנק בבית.</w:t>
      </w:r>
    </w:p>
    <w:p w14:paraId="2CB2B227" w14:textId="77777777" w:rsidR="003F76EA" w:rsidRPr="00745CC2" w:rsidRDefault="003F76EA" w:rsidP="003F76E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5E6951D1" w14:textId="77777777" w:rsidR="003F76EA" w:rsidRPr="00745CC2" w:rsidRDefault="003F76EA" w:rsidP="003F76EA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Issues:</w:t>
      </w:r>
    </w:p>
    <w:p w14:paraId="09749BFE" w14:textId="1EF8F6C3" w:rsidR="003F76EA" w:rsidRPr="00745CC2" w:rsidRDefault="003F76EA" w:rsidP="003F76E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Coordination (Kim and Rose, they)</w:t>
      </w:r>
    </w:p>
    <w:p w14:paraId="59910350" w14:textId="711161C9" w:rsidR="003F76EA" w:rsidRPr="00745CC2" w:rsidRDefault="003F76EA" w:rsidP="003F76EA">
      <w:pPr>
        <w:numPr>
          <w:ilvl w:val="0"/>
          <w:numId w:val="11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Split antecedents (Kim met Rose. They …)</w:t>
      </w:r>
    </w:p>
    <w:p w14:paraId="2B38FC11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2AD026" w14:textId="77777777" w:rsidR="003F76EA" w:rsidRPr="00745CC2" w:rsidRDefault="003F76EA" w:rsidP="003F76EA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Concepts in coreference:</w:t>
      </w:r>
    </w:p>
    <w:p w14:paraId="39800F95" w14:textId="77777777" w:rsidR="003F76EA" w:rsidRPr="00745CC2" w:rsidRDefault="003F76EA" w:rsidP="003F76EA">
      <w:pPr>
        <w:numPr>
          <w:ilvl w:val="0"/>
          <w:numId w:val="12"/>
        </w:numPr>
        <w:spacing w:after="0" w:line="240" w:lineRule="auto"/>
        <w:ind w:left="425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lastRenderedPageBreak/>
        <w:t>Mentions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br/>
      </w:r>
    </w:p>
    <w:p w14:paraId="00E28F70" w14:textId="77777777" w:rsidR="003F76EA" w:rsidRPr="00745CC2" w:rsidRDefault="003F76EA" w:rsidP="003F76EA">
      <w:pPr>
        <w:numPr>
          <w:ilvl w:val="1"/>
          <w:numId w:val="12"/>
        </w:numPr>
        <w:spacing w:line="240" w:lineRule="auto"/>
        <w:ind w:left="85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NP mentions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</w:t>
      </w:r>
    </w:p>
    <w:p w14:paraId="0EA57A08" w14:textId="77777777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OntoNotes: NP mentions should be extracted and highlighted prior to annotation. </w:t>
      </w:r>
    </w:p>
    <w:p w14:paraId="7D473D2D" w14:textId="77777777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Special case: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Head-sharing NPs: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in many cases, an NP (especially if it is long) is briefly referred to using its 'head', as in the first example. The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entire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NP must be tagged with its head as coreferring.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  <w:t>The first “long” NP (broadly speaking, the antecedent) between the head-sharing NPs should have its head annotated.</w:t>
      </w:r>
    </w:p>
    <w:p w14:paraId="3102DC80" w14:textId="77777777" w:rsidR="003F76EA" w:rsidRPr="00745CC2" w:rsidRDefault="003F76EA" w:rsidP="003F76EA">
      <w:pPr>
        <w:numPr>
          <w:ilvl w:val="0"/>
          <w:numId w:val="13"/>
        </w:numPr>
        <w:bidi/>
        <w:spacing w:after="0" w:line="240" w:lineRule="auto"/>
        <w:ind w:right="65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هناك إشاعات مؤكدة عن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قمة إسرائيلية-فلسطينية مشتركة في مصر خلال الأيام المقبلة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هذه القمة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ستناقش عملية السلام.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BBN Technologies, 2008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</w:p>
    <w:p w14:paraId="55D1E102" w14:textId="77777777" w:rsidR="003F76EA" w:rsidRPr="00745CC2" w:rsidRDefault="003F76EA" w:rsidP="003F76EA">
      <w:pPr>
        <w:numPr>
          <w:ilvl w:val="0"/>
          <w:numId w:val="13"/>
        </w:numPr>
        <w:bidi/>
        <w:spacing w:after="0" w:line="240" w:lineRule="auto"/>
        <w:ind w:right="65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רציחתו הדרמטית של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שליטה העריץ של הרפובליקה הרומית גאיוס יוליוס קיסר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הפתיעה רבים.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קיסר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היה בן 55 במותו.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</w:p>
    <w:p w14:paraId="6FB1E0A4" w14:textId="77777777" w:rsidR="003F76EA" w:rsidRPr="00745CC2" w:rsidRDefault="003F76EA" w:rsidP="003F76EA">
      <w:pPr>
        <w:numPr>
          <w:ilvl w:val="0"/>
          <w:numId w:val="14"/>
        </w:numPr>
        <w:spacing w:line="240" w:lineRule="auto"/>
        <w:ind w:left="85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Possessives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 does this apply to Hebrew/Arabic at all?</w:t>
      </w:r>
    </w:p>
    <w:p w14:paraId="1603E865" w14:textId="77777777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OntoNotes:</w:t>
      </w:r>
    </w:p>
    <w:p w14:paraId="2EF72510" w14:textId="3C58D99C" w:rsidR="003F76EA" w:rsidRPr="00745CC2" w:rsidRDefault="003F76EA" w:rsidP="003F76EA">
      <w:pPr>
        <w:spacing w:line="240" w:lineRule="auto"/>
        <w:ind w:left="99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14:ligatures w14:val="none"/>
        </w:rPr>
        <w:drawing>
          <wp:inline distT="0" distB="0" distL="0" distR="0" wp14:anchorId="5C34C460" wp14:editId="681D0515">
            <wp:extent cx="5568950" cy="1066800"/>
            <wp:effectExtent l="0" t="0" r="0" b="0"/>
            <wp:docPr id="19861749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59D65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21840994" w14:textId="77777777" w:rsidR="003F76EA" w:rsidRPr="00745CC2" w:rsidRDefault="003F76EA" w:rsidP="003F76EA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NP premodifiers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</w:t>
      </w:r>
    </w:p>
    <w:p w14:paraId="61703D18" w14:textId="77777777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OntoNotes: A premodifier (PreMod) is a word that precedes and modifies a noun. Proper noun PreMods can be co-referenced to existing noun phrases and/or other proper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PreMods, and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should be manually extracted by the annotator and added to the list of mentions.</w:t>
      </w:r>
    </w:p>
    <w:p w14:paraId="29E4A2C1" w14:textId="77777777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Non-proper and adjectival premodifiers are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not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eligible for co-reference. Articles in proper noun premodifiers should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not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be included in the span.</w:t>
      </w:r>
    </w:p>
    <w:p w14:paraId="43448235" w14:textId="626167F0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14:ligatures w14:val="none"/>
        </w:rPr>
        <w:lastRenderedPageBreak/>
        <w:drawing>
          <wp:inline distT="0" distB="0" distL="0" distR="0" wp14:anchorId="6F5E71E9" wp14:editId="4FE2BD7C">
            <wp:extent cx="5257800" cy="1466850"/>
            <wp:effectExtent l="0" t="0" r="0" b="0"/>
            <wp:docPr id="1067100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3F8A8" w14:textId="1913FC3A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14:ligatures w14:val="none"/>
        </w:rPr>
        <w:drawing>
          <wp:inline distT="0" distB="0" distL="0" distR="0" wp14:anchorId="1544EC16" wp14:editId="18F8BA69">
            <wp:extent cx="5276850" cy="2724150"/>
            <wp:effectExtent l="0" t="0" r="0" b="0"/>
            <wp:docPr id="851648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10DB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6C3E9ADD" w14:textId="77777777" w:rsidR="003F76EA" w:rsidRPr="00745CC2" w:rsidRDefault="003F76EA" w:rsidP="003F76EA">
      <w:pPr>
        <w:numPr>
          <w:ilvl w:val="0"/>
          <w:numId w:val="16"/>
        </w:numPr>
        <w:spacing w:line="240" w:lineRule="auto"/>
        <w:ind w:left="85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Nominalization/verbs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 sometimes a verb mentioned earlier is referred to by using its nominalized form, as in the first example, or a synonym of it, as in the second example. The verb and the gerund/nominalized form (or its synonym) must be tagged as coreferring entities.</w:t>
      </w:r>
    </w:p>
    <w:p w14:paraId="38C81369" w14:textId="77777777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Only tag if:</w:t>
      </w:r>
    </w:p>
    <w:p w14:paraId="6E9D7830" w14:textId="77777777" w:rsidR="003F76EA" w:rsidRPr="00745CC2" w:rsidRDefault="003F76EA" w:rsidP="003F76EA">
      <w:pPr>
        <w:numPr>
          <w:ilvl w:val="0"/>
          <w:numId w:val="17"/>
        </w:numPr>
        <w:spacing w:after="0" w:line="240" w:lineRule="auto"/>
        <w:ind w:left="1276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The verb is nominalized later on in the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document  (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“The prices rose. Very few people dealt well with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the rise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.”) </w:t>
      </w:r>
    </w:p>
    <w:p w14:paraId="2A18A97F" w14:textId="77777777" w:rsidR="003F76EA" w:rsidRPr="00745CC2" w:rsidRDefault="003F76EA" w:rsidP="003F76EA">
      <w:pPr>
        <w:numPr>
          <w:ilvl w:val="0"/>
          <w:numId w:val="17"/>
        </w:numPr>
        <w:spacing w:after="0" w:line="240" w:lineRule="auto"/>
        <w:ind w:left="1276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There is a pronoun that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refers back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to a VP (“Kim arrived.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That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annoyed me.”)</w:t>
      </w:r>
    </w:p>
    <w:p w14:paraId="0F2B41E2" w14:textId="77777777" w:rsidR="003F76EA" w:rsidRPr="00745CC2" w:rsidRDefault="003F76EA" w:rsidP="003F76EA">
      <w:pPr>
        <w:numPr>
          <w:ilvl w:val="0"/>
          <w:numId w:val="17"/>
        </w:numPr>
        <w:spacing w:line="240" w:lineRule="auto"/>
        <w:ind w:left="127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In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both of these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cases, only link the verb itself not the full VP with the NP.</w:t>
      </w:r>
    </w:p>
    <w:p w14:paraId="098B3F4A" w14:textId="77777777" w:rsidR="003F76EA" w:rsidRPr="00745CC2" w:rsidRDefault="003F76EA" w:rsidP="003F76EA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We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have to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decide whether we allow for nouns that have different “roots” than the verb or stick to derivational morphology. Let’s annotate near-synonyms - to be able to QA we can declare a new coref-type.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</w:p>
    <w:p w14:paraId="3E07B899" w14:textId="77777777" w:rsidR="003F76EA" w:rsidRPr="00745CC2" w:rsidRDefault="003F76EA" w:rsidP="003F76EA">
      <w:pPr>
        <w:numPr>
          <w:ilvl w:val="0"/>
          <w:numId w:val="18"/>
        </w:numPr>
        <w:bidi/>
        <w:spacing w:after="0" w:line="240" w:lineRule="auto"/>
        <w:ind w:right="51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أصر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العمّال على مطالبهم.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هذا الإصرار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أدى إلى تحصيلهم لحقوقهم.</w:t>
      </w:r>
    </w:p>
    <w:p w14:paraId="4941A0B2" w14:textId="77777777" w:rsidR="003F76EA" w:rsidRPr="00745CC2" w:rsidRDefault="003F76EA" w:rsidP="003F76EA">
      <w:pPr>
        <w:numPr>
          <w:ilvl w:val="0"/>
          <w:numId w:val="18"/>
        </w:numPr>
        <w:bidi/>
        <w:spacing w:after="0" w:line="240" w:lineRule="auto"/>
        <w:ind w:right="51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ارتفعت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مبيعات السيارات اليابانية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ب18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% من السنة الماضية.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هذا النمو القوي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سيلحقه ارتفاع سنوي بنسبة 21%.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BBN Technologies, 2008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</w:p>
    <w:p w14:paraId="75BEA1B4" w14:textId="77777777" w:rsidR="003F76EA" w:rsidRPr="00745CC2" w:rsidRDefault="003F76EA" w:rsidP="003F76EA">
      <w:pPr>
        <w:numPr>
          <w:ilvl w:val="0"/>
          <w:numId w:val="18"/>
        </w:numPr>
        <w:bidi/>
        <w:spacing w:after="0" w:line="240" w:lineRule="auto"/>
        <w:ind w:right="51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lastRenderedPageBreak/>
        <w:t>בית המשפט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הרשיע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את יהודית גונן בתקיפה הגורמת לחבלה של ממש. בין הראיות המרכזיות שהובילו ל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הרשעה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היתה עדותו של בעלה לשעבר.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 </w:t>
      </w:r>
    </w:p>
    <w:p w14:paraId="2D4E7CD0" w14:textId="77777777" w:rsidR="003F76EA" w:rsidRPr="00745CC2" w:rsidRDefault="003F76EA" w:rsidP="003F76EA">
      <w:pPr>
        <w:numPr>
          <w:ilvl w:val="0"/>
          <w:numId w:val="18"/>
        </w:numPr>
        <w:bidi/>
        <w:spacing w:line="240" w:lineRule="auto"/>
        <w:ind w:right="51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מחירי המכוניות היפניות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נסקו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ב-18% בשנה שעברה.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העלייה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החדה האטה את המכירה השנתית בשיעור של 21%.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  </w:t>
      </w:r>
    </w:p>
    <w:p w14:paraId="37170C4F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0A3FF6E3" w14:textId="77777777" w:rsidR="003F76EA" w:rsidRPr="00745CC2" w:rsidRDefault="003F76EA" w:rsidP="003F76EA">
      <w:pPr>
        <w:spacing w:line="240" w:lineRule="auto"/>
        <w:ind w:left="86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Note: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the nominalization (or its synonym) must be 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definite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 In the following example,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تقليص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" cannot be considered as coreferring with "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تقلل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" because it is 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indefinite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</w:t>
      </w:r>
    </w:p>
    <w:p w14:paraId="52EF212E" w14:textId="77777777" w:rsidR="003F76EA" w:rsidRPr="00745CC2" w:rsidRDefault="003F76EA" w:rsidP="003F76EA">
      <w:pPr>
        <w:numPr>
          <w:ilvl w:val="0"/>
          <w:numId w:val="19"/>
        </w:numPr>
        <w:bidi/>
        <w:spacing w:after="0" w:line="240" w:lineRule="auto"/>
        <w:ind w:right="51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قالت الأرجنتين أنها ستطلب من البنوك الدائنة أن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 xml:space="preserve">تقلل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ديونها الخارجية التي تبلغ 64 مليار دولار. تطمح الأرجنتين للوصول إلى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 xml:space="preserve">تقليص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بنسبة 50% من قيمة ديونها الخارجية.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  <w:t>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BBN Technologies, 2008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</w:p>
    <w:p w14:paraId="3AD8BCD3" w14:textId="77777777" w:rsidR="003F76EA" w:rsidRPr="00745CC2" w:rsidRDefault="003F76EA" w:rsidP="003F76EA">
      <w:pPr>
        <w:numPr>
          <w:ilvl w:val="0"/>
          <w:numId w:val="19"/>
        </w:numPr>
        <w:bidi/>
        <w:spacing w:line="240" w:lineRule="auto"/>
        <w:ind w:right="51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ארגנטינה הודיעה כי תבקש מהבנקים הנושים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:lang w:bidi="he-IL"/>
          <w14:ligatures w14:val="none"/>
        </w:rPr>
        <w:t>להפחית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את החוב הזר שלה בסך 64 מיליארד דולר. ארגנטינה שואפת להגיע ל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:lang w:bidi="he-IL"/>
          <w14:ligatures w14:val="none"/>
        </w:rPr>
        <w:t>הפחתה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של 50% בערך החוב הזר שלה.</w:t>
      </w:r>
    </w:p>
    <w:p w14:paraId="27D0BFB3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0E56EFBA" w14:textId="77777777" w:rsidR="003F76EA" w:rsidRPr="00745CC2" w:rsidRDefault="003F76EA" w:rsidP="003F76EA">
      <w:pPr>
        <w:numPr>
          <w:ilvl w:val="0"/>
          <w:numId w:val="20"/>
        </w:numPr>
        <w:spacing w:line="240" w:lineRule="auto"/>
        <w:ind w:left="425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Singletons</w:t>
      </w:r>
    </w:p>
    <w:p w14:paraId="383760CD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3F897516" w14:textId="77777777" w:rsidR="003F76EA" w:rsidRPr="00745CC2" w:rsidRDefault="003F76EA" w:rsidP="003F76EA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Apposition 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rtl/>
          <w14:ligatures w14:val="none"/>
        </w:rPr>
        <w:t>بَدَل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: An NP that describes the proper noun and can replace it in the context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later on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 Appositive coreference requires two NPs which are adjacent and can be placed in either order, which fulfill the same grammatical function simultaneously.</w:t>
      </w:r>
    </w:p>
    <w:p w14:paraId="175D93F4" w14:textId="77777777" w:rsidR="003F76EA" w:rsidRPr="00745CC2" w:rsidRDefault="003F76EA" w:rsidP="003F76EA">
      <w:pPr>
        <w:numPr>
          <w:ilvl w:val="0"/>
          <w:numId w:val="22"/>
        </w:numPr>
        <w:bidi/>
        <w:spacing w:after="0" w:line="240" w:lineRule="auto"/>
        <w:ind w:right="231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ستشهد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فكتوريا تشن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(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main NP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، ارتفاعًا ملحوظًا في راتبها بعد تولّي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 xml:space="preserve">المديرة المالية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ل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Megabucks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 xml:space="preserve"> Banking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 xml:space="preserve">(بدل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apposition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منصبها.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Jurafsky and Martin, 2023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7C01ABA3" w14:textId="77777777" w:rsidR="003F76EA" w:rsidRPr="00745CC2" w:rsidRDefault="003F76EA" w:rsidP="003F76EA">
      <w:pPr>
        <w:numPr>
          <w:ilvl w:val="0"/>
          <w:numId w:val="2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ولد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ابن خلدون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في تونس ثم هاجر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العالِم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إلى مصر.</w:t>
      </w:r>
    </w:p>
    <w:p w14:paraId="67228EAA" w14:textId="77777777" w:rsidR="003F76EA" w:rsidRPr="00745CC2" w:rsidRDefault="003F76EA" w:rsidP="003F76EA">
      <w:pPr>
        <w:numPr>
          <w:ilvl w:val="0"/>
          <w:numId w:val="2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لندن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مدينة مميزة. تتميز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العاصمة البريطانية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بكثرة سحابها. 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 et. al., 2021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33C7F2BD" w14:textId="77777777" w:rsidR="003F76EA" w:rsidRPr="00745CC2" w:rsidRDefault="003F76EA" w:rsidP="003F76EA">
      <w:pPr>
        <w:numPr>
          <w:ilvl w:val="0"/>
          <w:numId w:val="22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למרות ש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יהודה עמיחי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נולד בגרמניה, את מרבית חיי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ו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העביר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המשורר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בירושלים.</w:t>
      </w:r>
    </w:p>
    <w:p w14:paraId="18B8147B" w14:textId="77777777" w:rsidR="003F76EA" w:rsidRPr="00745CC2" w:rsidRDefault="003F76EA" w:rsidP="003F76EA">
      <w:pPr>
        <w:numPr>
          <w:ilvl w:val="0"/>
          <w:numId w:val="22"/>
        </w:numPr>
        <w:bidi/>
        <w:spacing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קהיר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נחשבת כיעד תיירותי מועדף על האירופאים. ניתן למצוא ב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בירה המצרית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מגוון מוזיאונים ואטרקציות מסקרנות.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 </w:t>
      </w:r>
    </w:p>
    <w:p w14:paraId="68F661A9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4F0D8C53" w14:textId="77777777" w:rsidR="003F76EA" w:rsidRPr="00745CC2" w:rsidRDefault="003F76EA" w:rsidP="003F76EA">
      <w:pPr>
        <w:numPr>
          <w:ilvl w:val="0"/>
          <w:numId w:val="23"/>
        </w:numPr>
        <w:bidi/>
        <w:spacing w:line="240" w:lineRule="auto"/>
        <w:ind w:right="373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Synonyms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: </w:t>
      </w:r>
    </w:p>
    <w:p w14:paraId="55CD36A0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3CB5763C" w14:textId="77777777" w:rsidR="003F76EA" w:rsidRPr="00745CC2" w:rsidRDefault="003F76EA" w:rsidP="003F76EA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Temporal/numeric phrases: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coreference between two NPs may include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 number of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years, amount of money, or a number of people. The entire temporal/monetary/number phrases should be tagged along with the succeeding entity to which it refers.</w:t>
      </w:r>
    </w:p>
    <w:p w14:paraId="1885BB09" w14:textId="77777777" w:rsidR="003F76EA" w:rsidRPr="00745CC2" w:rsidRDefault="003F76EA" w:rsidP="003F76EA">
      <w:pPr>
        <w:numPr>
          <w:ilvl w:val="0"/>
          <w:numId w:val="25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قضى مروان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عشرة سنوات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في السجن. خلال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ذاك الوقت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أنهى دراسته الجامعة.</w:t>
      </w:r>
    </w:p>
    <w:p w14:paraId="5D64F693" w14:textId="77777777" w:rsidR="003F76EA" w:rsidRPr="00745CC2" w:rsidRDefault="003F76EA" w:rsidP="003F76EA">
      <w:pPr>
        <w:numPr>
          <w:ilvl w:val="0"/>
          <w:numId w:val="25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عرض الشركة لمبلغ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150 دولار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لم يكن متوقعًا. صُدم الجميع ب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السعر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 </w:t>
      </w:r>
    </w:p>
    <w:p w14:paraId="055448FC" w14:textId="77777777" w:rsidR="003F76EA" w:rsidRPr="00745CC2" w:rsidRDefault="003F76EA" w:rsidP="003F76EA">
      <w:pPr>
        <w:numPr>
          <w:ilvl w:val="0"/>
          <w:numId w:val="25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نحو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650 جنديًا أمريكيًا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سينضمون إلى القوات الفلبينية. حُذّر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الجنود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من المخاطر.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  <w:t>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BBN Technologies, 2008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0D80AE63" w14:textId="77777777" w:rsidR="003F76EA" w:rsidRPr="00745CC2" w:rsidRDefault="003F76EA" w:rsidP="003F76EA">
      <w:pPr>
        <w:numPr>
          <w:ilvl w:val="0"/>
          <w:numId w:val="25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70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 xml:space="preserve"> שנה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מלכה המלכה אליזבת השניה בממלכה המאוחדת, במהלכ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ן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ביקרה ברחבי העולם.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 </w:t>
      </w:r>
    </w:p>
    <w:p w14:paraId="1CAEC058" w14:textId="77777777" w:rsidR="003F76EA" w:rsidRPr="00745CC2" w:rsidRDefault="003F76EA" w:rsidP="003F76EA">
      <w:pPr>
        <w:numPr>
          <w:ilvl w:val="0"/>
          <w:numId w:val="25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אני מרוויח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40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 xml:space="preserve"> ש״ח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לשעה. עם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הסכום הזה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אין לי סיכוי לגמור את החודש.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 </w:t>
      </w:r>
    </w:p>
    <w:p w14:paraId="7715A22B" w14:textId="77777777" w:rsidR="003F76EA" w:rsidRPr="00745CC2" w:rsidRDefault="003F76EA" w:rsidP="003F76EA">
      <w:pPr>
        <w:numPr>
          <w:ilvl w:val="0"/>
          <w:numId w:val="25"/>
        </w:numPr>
        <w:bidi/>
        <w:spacing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מתוך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800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 xml:space="preserve"> הסטודנטים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שניגשו למבחן, רק כמחצית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ם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עברו אותו בהצלחה.</w:t>
      </w:r>
    </w:p>
    <w:p w14:paraId="13FB404A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br/>
      </w:r>
    </w:p>
    <w:p w14:paraId="28DE0351" w14:textId="77777777" w:rsidR="003F76EA" w:rsidRPr="00745CC2" w:rsidRDefault="003F76EA" w:rsidP="003F76EA">
      <w:pPr>
        <w:numPr>
          <w:ilvl w:val="0"/>
          <w:numId w:val="26"/>
        </w:numPr>
        <w:spacing w:after="0" w:line="240" w:lineRule="auto"/>
        <w:ind w:left="425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Quantification: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coreference must be tagged between the NP that includes the quantifier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(...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כל, רוב, אף, מספר, שום, כמה…)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كل، أغلب، أحد، جميع، بعض)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in its entirety with the pronouns.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  <w:t>Each part of the coordination should be tagged individually.</w:t>
      </w:r>
    </w:p>
    <w:p w14:paraId="68320940" w14:textId="77777777" w:rsidR="003F76EA" w:rsidRPr="00745CC2" w:rsidRDefault="003F76EA" w:rsidP="003F76EA">
      <w:pPr>
        <w:numPr>
          <w:ilvl w:val="0"/>
          <w:numId w:val="27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أغلب الطلاب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دخلوا الصف. 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هم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سعيدون. 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 et. al., 2021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6299B962" w14:textId="77777777" w:rsidR="003F76EA" w:rsidRPr="00745CC2" w:rsidRDefault="003F76EA" w:rsidP="003F76EA">
      <w:pPr>
        <w:numPr>
          <w:ilvl w:val="0"/>
          <w:numId w:val="27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جلس 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كل طالب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في درجـ[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ـه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 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 et. al., 2021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3E69DC56" w14:textId="77777777" w:rsidR="003F76EA" w:rsidRPr="00745CC2" w:rsidRDefault="003F76EA" w:rsidP="003F76EA">
      <w:pPr>
        <w:numPr>
          <w:ilvl w:val="0"/>
          <w:numId w:val="27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כל התלמידות]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יצאו לחצר. 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הן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שמחו שהמבחן נגמר.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 </w:t>
      </w:r>
    </w:p>
    <w:p w14:paraId="7E36B31E" w14:textId="77777777" w:rsidR="003F76EA" w:rsidRPr="00745CC2" w:rsidRDefault="003F76EA" w:rsidP="003F76EA">
      <w:pPr>
        <w:numPr>
          <w:ilvl w:val="0"/>
          <w:numId w:val="27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רוב המורים]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שותים קפה במקום עבודת[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ם]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</w:t>
      </w:r>
    </w:p>
    <w:p w14:paraId="13828AF9" w14:textId="77777777" w:rsidR="003F76EA" w:rsidRPr="00745CC2" w:rsidRDefault="003F76EA" w:rsidP="003F76EA">
      <w:pPr>
        <w:numPr>
          <w:ilvl w:val="0"/>
          <w:numId w:val="27"/>
        </w:numPr>
        <w:bidi/>
        <w:spacing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ראיתי את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יפעת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ועמנואל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שתיהן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היו שמחות.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rtl/>
          <w:lang w:bidi="he-IL"/>
          <w14:ligatures w14:val="none"/>
        </w:rPr>
        <w:t>יפעת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הייתה רעבה.</w:t>
      </w:r>
    </w:p>
    <w:p w14:paraId="121A3CB7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1397EC2F" w14:textId="77777777" w:rsidR="003F76EA" w:rsidRPr="00745CC2" w:rsidRDefault="003F76EA" w:rsidP="003F76EA">
      <w:pPr>
        <w:spacing w:line="240" w:lineRule="auto"/>
        <w:ind w:right="-4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Examples for the </w:t>
      </w:r>
      <w:r w:rsidRPr="00745CC2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 xml:space="preserve">absence 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of coreference between an NP and/or an NP and a pronoun (non-referring NPs):</w:t>
      </w:r>
    </w:p>
    <w:p w14:paraId="464C874A" w14:textId="77777777" w:rsidR="003F76EA" w:rsidRPr="00745CC2" w:rsidRDefault="003F76EA" w:rsidP="003F76EA">
      <w:pPr>
        <w:numPr>
          <w:ilvl w:val="0"/>
          <w:numId w:val="28"/>
        </w:numPr>
        <w:spacing w:after="0" w:line="240" w:lineRule="auto"/>
        <w:ind w:left="425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Appositive NP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  <w:t>Mark the more specific term (usually, the proper noun) as the head.</w:t>
      </w:r>
    </w:p>
    <w:p w14:paraId="00EEEEEA" w14:textId="77777777" w:rsidR="003F76EA" w:rsidRPr="00745CC2" w:rsidRDefault="003F76EA" w:rsidP="003F76EA">
      <w:pPr>
        <w:numPr>
          <w:ilvl w:val="0"/>
          <w:numId w:val="29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الناطقة باسم وزارة الخارجية السويسرية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(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appos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،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دانييال ستوفل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(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head NP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ستَحضر العشاء.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  <w:t>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BBN Technologies, 2008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69502FFE" w14:textId="77777777" w:rsidR="003F76EA" w:rsidRPr="00745CC2" w:rsidRDefault="003F76EA" w:rsidP="003F76EA">
      <w:pPr>
        <w:numPr>
          <w:ilvl w:val="0"/>
          <w:numId w:val="29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كارلوس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(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head NP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، ابن عمي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(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appos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)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، هو شاب لطيف.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 et. al., 2021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444E0AD3" w14:textId="77777777" w:rsidR="003F76EA" w:rsidRPr="00745CC2" w:rsidRDefault="003F76EA" w:rsidP="003F76EA">
      <w:pPr>
        <w:numPr>
          <w:ilvl w:val="0"/>
          <w:numId w:val="29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פאינה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,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חמותי, היא אישה מקסימה וזמרת בחסד.</w:t>
      </w:r>
    </w:p>
    <w:p w14:paraId="01022702" w14:textId="77777777" w:rsidR="003F76EA" w:rsidRPr="00745CC2" w:rsidRDefault="003F76EA" w:rsidP="003F76EA">
      <w:pPr>
        <w:numPr>
          <w:ilvl w:val="0"/>
          <w:numId w:val="29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מזכיר ועדת הבחירות המרכזית, ינון גמל השתתף בפתיחת התערוכה.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</w:r>
    </w:p>
    <w:p w14:paraId="4A9F2FD9" w14:textId="77777777" w:rsidR="003F76EA" w:rsidRPr="00745CC2" w:rsidRDefault="003F76EA" w:rsidP="003F76EA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Predicative NP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: in the following examples, the NPs in red are predicative or explanatory rather than phrases that introduce a new entity in discourse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-  they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should not be tagged.</w:t>
      </w:r>
    </w:p>
    <w:p w14:paraId="57FB738B" w14:textId="77777777" w:rsidR="003F76EA" w:rsidRPr="00745CC2" w:rsidRDefault="003F76EA" w:rsidP="003F76EA">
      <w:pPr>
        <w:numPr>
          <w:ilvl w:val="0"/>
          <w:numId w:val="31"/>
        </w:numPr>
        <w:bidi/>
        <w:spacing w:after="0" w:line="240" w:lineRule="auto"/>
        <w:ind w:right="-29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إليزابيث الثانية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هي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ملكة مملكة بريطانيا العظمى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 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 et. al., 2021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648C8D63" w14:textId="77777777" w:rsidR="003F76EA" w:rsidRPr="00745CC2" w:rsidRDefault="003F76EA" w:rsidP="003F76EA">
      <w:pPr>
        <w:numPr>
          <w:ilvl w:val="0"/>
          <w:numId w:val="31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ادعت مصادر أن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منطقة معركة برونانبوره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هي بالفعل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برومبوروه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 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 et. al., 2021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7F18EC66" w14:textId="77777777" w:rsidR="003F76EA" w:rsidRPr="00745CC2" w:rsidRDefault="003F76EA" w:rsidP="003F76EA">
      <w:pPr>
        <w:numPr>
          <w:ilvl w:val="0"/>
          <w:numId w:val="31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اكتشفنا أن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 xml:space="preserve">القاتل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كان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14:ligatures w14:val="none"/>
        </w:rPr>
        <w:t>مستر راي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 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 et. al., 2021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7A31F24C" w14:textId="77777777" w:rsidR="003F76EA" w:rsidRPr="00745CC2" w:rsidRDefault="003F76EA" w:rsidP="003F76EA">
      <w:pPr>
        <w:numPr>
          <w:ilvl w:val="0"/>
          <w:numId w:val="31"/>
        </w:numPr>
        <w:bidi/>
        <w:spacing w:after="0"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כל המנכ״לים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ברוב החברות הם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:lang w:bidi="he-IL"/>
          <w14:ligatures w14:val="none"/>
        </w:rPr>
        <w:t>אנשים מבוגרים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עם המון ניסיון.</w:t>
      </w:r>
    </w:p>
    <w:p w14:paraId="69294784" w14:textId="77777777" w:rsidR="003F76EA" w:rsidRPr="00745CC2" w:rsidRDefault="003F76EA" w:rsidP="003F76EA">
      <w:pPr>
        <w:numPr>
          <w:ilvl w:val="0"/>
          <w:numId w:val="31"/>
        </w:numPr>
        <w:bidi/>
        <w:spacing w:line="240" w:lineRule="auto"/>
        <w:ind w:right="-295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קיוויתי ש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:lang w:bidi="he-IL"/>
          <w14:ligatures w14:val="none"/>
        </w:rPr>
        <w:t>המנחה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יהיה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rtl/>
          <w:lang w:bidi="he-IL"/>
          <w14:ligatures w14:val="none"/>
        </w:rPr>
        <w:t>דודו טופז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</w:t>
      </w:r>
    </w:p>
    <w:p w14:paraId="6FA9812C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4CD563E" w14:textId="77777777" w:rsidR="003F76EA" w:rsidRPr="00745CC2" w:rsidRDefault="003F76EA" w:rsidP="003F76EA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Generic NP: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in some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cases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the antecedent is generic or indefinite, meaning it does not have the property of referring to another entity. In the first example the pronoun “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ـها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” refers to mangos as a fruit rather than to a specified set of mangoes, and in the second example the pronoun “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هم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” does not refer to a specific set of woodwind players.</w:t>
      </w:r>
    </w:p>
    <w:p w14:paraId="647259AB" w14:textId="77777777" w:rsidR="003F76EA" w:rsidRPr="00745CC2" w:rsidRDefault="003F76EA" w:rsidP="003F76EA">
      <w:pPr>
        <w:numPr>
          <w:ilvl w:val="0"/>
          <w:numId w:val="33"/>
        </w:numPr>
        <w:bidi/>
        <w:spacing w:after="0" w:line="240" w:lineRule="auto"/>
        <w:ind w:right="-29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أحب [المانجا]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 إنـ[ـها]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فاكهة لذيذة. 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Jurafsky and Martin, 2023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11E6EA76" w14:textId="77777777" w:rsidR="003F76EA" w:rsidRPr="00745CC2" w:rsidRDefault="003F76EA" w:rsidP="003F76EA">
      <w:pPr>
        <w:numPr>
          <w:ilvl w:val="0"/>
          <w:numId w:val="33"/>
        </w:numPr>
        <w:bidi/>
        <w:spacing w:after="0" w:line="240" w:lineRule="auto"/>
        <w:ind w:right="-29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على [عازفي آلات النفخ الخشبية]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أن يكونوا مبدعين إذا أرادوا النجاح لأن جمهور[هم]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محدود.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br/>
        <w:t>(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 et. al., 2021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)</w:t>
      </w:r>
    </w:p>
    <w:p w14:paraId="62BD7593" w14:textId="77777777" w:rsidR="003F76EA" w:rsidRPr="00745CC2" w:rsidRDefault="003F76EA" w:rsidP="003F76EA">
      <w:pPr>
        <w:numPr>
          <w:ilvl w:val="0"/>
          <w:numId w:val="33"/>
        </w:numPr>
        <w:bidi/>
        <w:spacing w:after="0" w:line="240" w:lineRule="auto"/>
        <w:ind w:right="-29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אני אוהב [חתולים]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 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הם]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נעימים ומגרגרים.</w:t>
      </w:r>
    </w:p>
    <w:p w14:paraId="195477E6" w14:textId="77777777" w:rsidR="003F76EA" w:rsidRPr="00745CC2" w:rsidRDefault="003F76EA" w:rsidP="003F76EA">
      <w:pPr>
        <w:numPr>
          <w:ilvl w:val="0"/>
          <w:numId w:val="33"/>
        </w:numPr>
        <w:bidi/>
        <w:spacing w:line="240" w:lineRule="auto"/>
        <w:ind w:right="-29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אנשים]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נוטים לחשוב שהדעה של[הם]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מעניינת אותי.</w:t>
      </w:r>
    </w:p>
    <w:p w14:paraId="588870D2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055CFFF6" w14:textId="77777777" w:rsidR="003F76EA" w:rsidRPr="00745CC2" w:rsidRDefault="003F76EA" w:rsidP="003F76EA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Expletive pronouns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 pronouns that do not refer to any entities but rather play a syntactic role: </w:t>
      </w:r>
    </w:p>
    <w:p w14:paraId="5BD42169" w14:textId="77777777" w:rsidR="003F76EA" w:rsidRPr="00745CC2" w:rsidRDefault="003F76EA" w:rsidP="003F76EA">
      <w:pPr>
        <w:numPr>
          <w:ilvl w:val="0"/>
          <w:numId w:val="35"/>
        </w:numPr>
        <w:bidi/>
        <w:spacing w:after="0" w:line="240" w:lineRule="auto"/>
        <w:ind w:right="-29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إن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>ه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زيدٌ قادم.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It is Zeid who is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coming</w:t>
      </w:r>
      <w:proofErr w:type="gramEnd"/>
    </w:p>
    <w:p w14:paraId="741296F4" w14:textId="77777777" w:rsidR="003F76EA" w:rsidRPr="00745CC2" w:rsidRDefault="003F76EA" w:rsidP="003F76EA">
      <w:pPr>
        <w:numPr>
          <w:ilvl w:val="0"/>
          <w:numId w:val="35"/>
        </w:numPr>
        <w:bidi/>
        <w:spacing w:line="240" w:lineRule="auto"/>
        <w:ind w:right="-29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:lang w:bidi="he-IL"/>
          <w14:ligatures w14:val="none"/>
        </w:rPr>
        <w:lastRenderedPageBreak/>
        <w:t>זה</w:t>
      </w:r>
      <w:r w:rsidRPr="00745CC2">
        <w:rPr>
          <w:rFonts w:ascii="Arial" w:eastAsia="Times New Roman" w:hAnsi="Arial" w:cs="Arial"/>
          <w:color w:val="FF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חשוב לאכול בריא.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 </w:t>
      </w:r>
    </w:p>
    <w:p w14:paraId="0835F85E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1985ED04" w14:textId="77777777" w:rsidR="003F76EA" w:rsidRPr="00745CC2" w:rsidRDefault="003F76EA" w:rsidP="003F76E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Example:</w:t>
      </w:r>
    </w:p>
    <w:p w14:paraId="41E27524" w14:textId="77777777" w:rsidR="003F76EA" w:rsidRPr="00745CC2" w:rsidRDefault="003F76EA" w:rsidP="003F76EA">
      <w:pPr>
        <w:bidi/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[فيكتوريا تشن]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، المديرة المالية لـ[ميغابكس بانكينغ]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، ستشهد ارتفاعًا ملحوظًا في [راتبـ[ـها]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3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بعد أن أصبحت [الثلاثينية]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رئيسة [الشركة]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 من المعروف أنـ[ـها]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جاءت إلى [ميغابكس]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من الشركة المنافسة [لوتسابكس]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4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. </w:t>
      </w:r>
    </w:p>
    <w:p w14:paraId="27B4B2E2" w14:textId="77777777" w:rsidR="003F76EA" w:rsidRPr="00745CC2" w:rsidRDefault="003F76EA" w:rsidP="003F76EA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 summary of the coreferring entities in the example:</w:t>
      </w:r>
    </w:p>
    <w:p w14:paraId="5A3F428B" w14:textId="77777777" w:rsidR="003F76EA" w:rsidRPr="00745CC2" w:rsidRDefault="003F76EA" w:rsidP="003F76EA">
      <w:pPr>
        <w:numPr>
          <w:ilvl w:val="0"/>
          <w:numId w:val="36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فيكتوريا تشن، ـها، الثلاثينية، ـها</w:t>
      </w:r>
    </w:p>
    <w:p w14:paraId="47E8C269" w14:textId="77777777" w:rsidR="003F76EA" w:rsidRPr="00745CC2" w:rsidRDefault="003F76EA" w:rsidP="003F76EA">
      <w:pPr>
        <w:numPr>
          <w:ilvl w:val="0"/>
          <w:numId w:val="36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ميغابكس بانكينغ، الشركة، ميغابكس</w:t>
      </w:r>
    </w:p>
    <w:p w14:paraId="47770FE9" w14:textId="77777777" w:rsidR="003F76EA" w:rsidRPr="00745CC2" w:rsidRDefault="003F76EA" w:rsidP="003F76EA">
      <w:pPr>
        <w:numPr>
          <w:ilvl w:val="0"/>
          <w:numId w:val="36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راتبها</w:t>
      </w:r>
    </w:p>
    <w:p w14:paraId="3DAA2859" w14:textId="77777777" w:rsidR="003F76EA" w:rsidRPr="00745CC2" w:rsidRDefault="003F76EA" w:rsidP="003F76EA">
      <w:pPr>
        <w:numPr>
          <w:ilvl w:val="0"/>
          <w:numId w:val="36"/>
        </w:numPr>
        <w:bidi/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لوتسابكس</w:t>
      </w:r>
    </w:p>
    <w:p w14:paraId="43DABBD8" w14:textId="77777777" w:rsidR="003F76EA" w:rsidRPr="00745CC2" w:rsidRDefault="003F76EA" w:rsidP="003F76EA">
      <w:pPr>
        <w:bidi/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[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שמרית לביא]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,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קופאית ב-״[שופרסל]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״ עתידה לקבל העלאה משמעותית בשכר[ה]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לאחר שתהפוך למנכ״לית [החברה]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בספטמבר הקרוב. ידוע כי [היא]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1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עברה אל ״[שופרסל]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2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״ מהחברה המתחרה ״[רמי לוי]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vertAlign w:val="subscript"/>
          <w:rtl/>
          <w14:ligatures w14:val="none"/>
        </w:rPr>
        <w:t>3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״.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 </w:t>
      </w:r>
    </w:p>
    <w:p w14:paraId="39651B52" w14:textId="77777777" w:rsidR="003F76EA" w:rsidRPr="00745CC2" w:rsidRDefault="003F76EA" w:rsidP="003F76EA">
      <w:pPr>
        <w:numPr>
          <w:ilvl w:val="0"/>
          <w:numId w:val="37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שמרית לביא, -ה, היא</w:t>
      </w:r>
    </w:p>
    <w:p w14:paraId="76D5E80F" w14:textId="77777777" w:rsidR="003F76EA" w:rsidRPr="00745CC2" w:rsidRDefault="003F76EA" w:rsidP="003F76EA">
      <w:pPr>
        <w:numPr>
          <w:ilvl w:val="0"/>
          <w:numId w:val="37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שופרסל, החברה, שופרסל</w:t>
      </w:r>
    </w:p>
    <w:p w14:paraId="07348E66" w14:textId="77777777" w:rsidR="003F76EA" w:rsidRPr="00745CC2" w:rsidRDefault="003F76EA" w:rsidP="003F76EA">
      <w:pPr>
        <w:numPr>
          <w:ilvl w:val="0"/>
          <w:numId w:val="37"/>
        </w:numPr>
        <w:bidi/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רמי לוי</w:t>
      </w:r>
    </w:p>
    <w:p w14:paraId="064797C7" w14:textId="77777777" w:rsidR="003F76EA" w:rsidRPr="00745CC2" w:rsidRDefault="003F76EA" w:rsidP="003F76E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(Jurafsky and Martin, 2023)</w:t>
      </w:r>
    </w:p>
    <w:p w14:paraId="03967407" w14:textId="77777777" w:rsidR="003F76EA" w:rsidRPr="00745CC2" w:rsidRDefault="003F76EA" w:rsidP="003F76E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Decisions/technical issues:</w:t>
      </w:r>
    </w:p>
    <w:p w14:paraId="3DEDF600" w14:textId="77777777" w:rsidR="003F76EA" w:rsidRPr="00745CC2" w:rsidRDefault="003F76EA" w:rsidP="003F76EA">
      <w:pPr>
        <w:numPr>
          <w:ilvl w:val="0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Demonstrative pronouns and determiners should be part of the span, so when the antecedent mention is “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הרשות לנייר ערך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”, followed later by “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הרשות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”, the second mention should be </w:t>
      </w: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rtl/>
          <w:lang w:bidi="he-IL"/>
          <w14:ligatures w14:val="none"/>
        </w:rPr>
        <w:t>הרשות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not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רשות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</w:p>
    <w:p w14:paraId="6D034673" w14:textId="77777777" w:rsidR="003F76EA" w:rsidRPr="00745CC2" w:rsidRDefault="003F76EA" w:rsidP="003F76EA">
      <w:pPr>
        <w:numPr>
          <w:ilvl w:val="0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When a mention is long (i.e., includes necessary adjuncts), one might use the head. Ex: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תשקיף שאישרה הוועדה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may have its label as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תשקיף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</w:p>
    <w:p w14:paraId="31B28B8F" w14:textId="77777777" w:rsidR="003F76EA" w:rsidRPr="00745CC2" w:rsidRDefault="003F76EA" w:rsidP="003F76EA">
      <w:pPr>
        <w:numPr>
          <w:ilvl w:val="0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Annotators mustn’t create chains of full mentions, meaning there is no need to annotate a certain mention if there isn’t a pronoun/term-denoting expression that refers to it.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  <w:t xml:space="preserve">Ex: if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:rtl/>
          <w:lang w:bidi="he-IL"/>
          <w14:ligatures w14:val="none"/>
        </w:rPr>
        <w:t>נייר ערך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is mentioned so many times along the text, there is no need to chain them all together.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</w:p>
    <w:p w14:paraId="29A0C870" w14:textId="77777777" w:rsidR="003F76EA" w:rsidRPr="00745CC2" w:rsidRDefault="003F76EA" w:rsidP="003F76EA">
      <w:pPr>
        <w:numPr>
          <w:ilvl w:val="0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 full date “April 19, 1989” is a full mention - no nesting is required.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</w:p>
    <w:p w14:paraId="18364236" w14:textId="77777777" w:rsidR="003F76EA" w:rsidRPr="00745CC2" w:rsidRDefault="003F76EA" w:rsidP="003F76EA">
      <w:pPr>
        <w:numPr>
          <w:ilvl w:val="0"/>
          <w:numId w:val="38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7/9/2023 -</w:t>
      </w:r>
    </w:p>
    <w:p w14:paraId="7496DD11" w14:textId="77777777" w:rsidR="003F76EA" w:rsidRPr="00745CC2" w:rsidRDefault="003F76EA" w:rsidP="003F76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ABD201" w14:textId="77777777" w:rsidR="003F76EA" w:rsidRPr="00745CC2" w:rsidRDefault="003F76EA" w:rsidP="003F76E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References:</w:t>
      </w:r>
    </w:p>
    <w:p w14:paraId="0CA461E2" w14:textId="77777777" w:rsidR="003F76EA" w:rsidRPr="00745CC2" w:rsidRDefault="003F76EA" w:rsidP="003F76EA">
      <w:pPr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Al-Oraini, Abdulrahman., Yu, Juntao., Peosio, Massimo. 2020. Neural Coreference Resolution for Arabic. Spain: Association for Computational Linguistics. Online version: </w:t>
      </w:r>
      <w:hyperlink r:id="rId8" w:history="1">
        <w:r w:rsidRPr="00745CC2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14:ligatures w14:val="none"/>
          </w:rPr>
          <w:t>https://aclanthology.org/2020.crac-1.11/</w:t>
        </w:r>
      </w:hyperlink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194BD5B3" w14:textId="77777777" w:rsidR="003F76EA" w:rsidRPr="00745CC2" w:rsidRDefault="003F76EA" w:rsidP="003F76EA">
      <w:pPr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lastRenderedPageBreak/>
        <w:t xml:space="preserve">Al-Oraini, Abdulrahman., Pradhan, Sameer., Poesio, Massimo. 2022. Joint Coreference Resolution for Zeros and non-Zeros in Arabic. Spain: Association for Computational Linguistics. Online version: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hyperlink r:id="rId9" w:history="1">
        <w:r w:rsidRPr="00745CC2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14:ligatures w14:val="none"/>
          </w:rPr>
          <w:t>https://aclanthology.org/2022.wanlp-1.2.pdf</w:t>
        </w:r>
      </w:hyperlink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0D51E928" w14:textId="77777777" w:rsidR="003F76EA" w:rsidRPr="00745CC2" w:rsidRDefault="003F76EA" w:rsidP="003F76EA">
      <w:pPr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Arabic Co-reference Guidelines </w:t>
      </w:r>
      <w:proofErr w:type="gramStart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For</w:t>
      </w:r>
      <w:proofErr w:type="gramEnd"/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OntoNotes. 2008. BBN Technologies. Online version: 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/>
      </w:r>
      <w:hyperlink r:id="rId10" w:history="1">
        <w:r w:rsidRPr="00745CC2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14:ligatures w14:val="none"/>
          </w:rPr>
          <w:t>https://www.ldc.upenn.edu/sites/www.ldc.upenn.edu/files/arabic-coreference-guidelines.pdf</w:t>
        </w:r>
      </w:hyperlink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1A6A4EB1" w14:textId="77777777" w:rsidR="003F76EA" w:rsidRPr="00745CC2" w:rsidRDefault="003F76EA" w:rsidP="003F76EA">
      <w:pPr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Jurafsky, Dan &amp; Martin, James. 2023. Coreference Resolution. In </w:t>
      </w:r>
      <w:r w:rsidRPr="00745CC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Speech and Language Processing</w:t>
      </w: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. Online version: </w:t>
      </w:r>
      <w:hyperlink r:id="rId11" w:history="1">
        <w:r w:rsidRPr="00745CC2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14:ligatures w14:val="none"/>
          </w:rPr>
          <w:t>https://web.stanford.edu/~jurafsky/slp3/</w:t>
        </w:r>
      </w:hyperlink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7B59A7C0" w14:textId="77777777" w:rsidR="003F76EA" w:rsidRPr="00745CC2" w:rsidRDefault="003F76EA" w:rsidP="003F76EA">
      <w:pPr>
        <w:numPr>
          <w:ilvl w:val="0"/>
          <w:numId w:val="39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745CC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Poesio, Massimo., Camilleri, Maris., Carretero-Garcia, Paloma., Artstein, Ron. 2021. ARRAU 3 Annotation Manual Version 1.0. </w:t>
      </w:r>
    </w:p>
    <w:p w14:paraId="4E94320E" w14:textId="77777777" w:rsidR="00497528" w:rsidRPr="00745CC2" w:rsidRDefault="00497528">
      <w:pPr>
        <w:rPr>
          <w:sz w:val="24"/>
          <w:szCs w:val="24"/>
        </w:rPr>
      </w:pPr>
    </w:p>
    <w:p w14:paraId="67D3C7BB" w14:textId="41895AB1" w:rsidR="00745CC2" w:rsidRPr="008543F8" w:rsidRDefault="00745CC2">
      <w:pPr>
        <w:rPr>
          <w:b/>
          <w:bCs/>
          <w:sz w:val="28"/>
          <w:szCs w:val="28"/>
        </w:rPr>
      </w:pPr>
      <w:r w:rsidRPr="008543F8">
        <w:rPr>
          <w:b/>
          <w:bCs/>
          <w:sz w:val="28"/>
          <w:szCs w:val="28"/>
        </w:rPr>
        <w:t>Additions by Dina's Team:</w:t>
      </w:r>
    </w:p>
    <w:p w14:paraId="5DCB2CA8" w14:textId="77777777" w:rsidR="00745CC2" w:rsidRPr="00745CC2" w:rsidRDefault="00745CC2" w:rsidP="00745CC2">
      <w:pPr>
        <w:bidi/>
        <w:ind w:left="1190" w:hanging="360"/>
        <w:jc w:val="center"/>
        <w:rPr>
          <w:rFonts w:cs="David" w:hint="cs"/>
          <w:sz w:val="24"/>
          <w:szCs w:val="24"/>
          <w:rtl/>
          <w:lang w:bidi="he-IL"/>
        </w:rPr>
      </w:pPr>
      <w:r w:rsidRPr="00745CC2">
        <w:rPr>
          <w:rFonts w:cs="David" w:hint="cs"/>
          <w:b/>
          <w:bCs/>
          <w:sz w:val="24"/>
          <w:szCs w:val="24"/>
          <w:rtl/>
          <w:lang w:bidi="he-IL"/>
        </w:rPr>
        <w:t>מ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תייגים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את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ה</w:t>
      </w:r>
      <w:r w:rsidRPr="00745CC2">
        <w:rPr>
          <w:rFonts w:cs="David"/>
          <w:b/>
          <w:bCs/>
          <w:sz w:val="24"/>
          <w:szCs w:val="24"/>
          <w:rtl/>
        </w:rPr>
        <w:t>-</w:t>
      </w: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ش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רק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הוא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לא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בא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בצירוף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לפועל</w:t>
      </w:r>
      <w:r w:rsidRPr="00745CC2">
        <w:rPr>
          <w:rFonts w:cs="David"/>
          <w:b/>
          <w:bCs/>
          <w:sz w:val="24"/>
          <w:szCs w:val="24"/>
          <w:rtl/>
        </w:rPr>
        <w:t>.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למשל</w:t>
      </w:r>
      <w:r w:rsidRPr="00745CC2">
        <w:rPr>
          <w:rFonts w:cs="David"/>
          <w:sz w:val="24"/>
          <w:szCs w:val="24"/>
          <w:rtl/>
        </w:rPr>
        <w:t xml:space="preserve"> </w:t>
      </w:r>
      <w:proofErr w:type="spellStart"/>
      <w:r w:rsidRPr="00745CC2">
        <w:rPr>
          <w:rFonts w:ascii="Arial" w:hAnsi="Arial" w:cs="Arial" w:hint="cs"/>
          <w:sz w:val="24"/>
          <w:szCs w:val="24"/>
          <w:rtl/>
          <w:lang w:bidi="ar-EG"/>
        </w:rPr>
        <w:t>عند</w:t>
      </w:r>
      <w:r w:rsidRPr="00745CC2">
        <w:rPr>
          <w:rFonts w:ascii="Arial" w:hAnsi="Arial" w:cs="Arial" w:hint="cs"/>
          <w:sz w:val="24"/>
          <w:szCs w:val="24"/>
          <w:highlight w:val="yellow"/>
          <w:rtl/>
          <w:lang w:bidi="ar-EG"/>
        </w:rPr>
        <w:t>ش</w:t>
      </w:r>
      <w:proofErr w:type="spellEnd"/>
    </w:p>
    <w:p w14:paraId="567D23B0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sz w:val="24"/>
          <w:szCs w:val="24"/>
          <w:lang w:bidi="ar-EG"/>
        </w:rPr>
      </w:pP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تسعدني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מתייגים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פה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רק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את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ה</w:t>
      </w:r>
      <w:r w:rsidRPr="00745CC2">
        <w:rPr>
          <w:rFonts w:cs="David"/>
          <w:b/>
          <w:bCs/>
          <w:sz w:val="24"/>
          <w:szCs w:val="24"/>
          <w:rtl/>
        </w:rPr>
        <w:t>-</w:t>
      </w:r>
      <w:r w:rsidRPr="00745CC2">
        <w:rPr>
          <w:rFonts w:ascii="Arial" w:hAnsi="Arial" w:cs="Arial" w:hint="cs"/>
          <w:b/>
          <w:bCs/>
          <w:sz w:val="24"/>
          <w:szCs w:val="24"/>
          <w:highlight w:val="yellow"/>
          <w:rtl/>
          <w:lang w:bidi="ar-EG"/>
        </w:rPr>
        <w:t>ي</w:t>
      </w:r>
      <w:r w:rsidRPr="00745CC2">
        <w:rPr>
          <w:rFonts w:cs="David"/>
          <w:b/>
          <w:bCs/>
          <w:sz w:val="24"/>
          <w:szCs w:val="24"/>
          <w:rtl/>
        </w:rPr>
        <w:t>.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כיוון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של</w:t>
      </w:r>
      <w:r w:rsidRPr="00745CC2">
        <w:rPr>
          <w:rFonts w:cs="David"/>
          <w:sz w:val="24"/>
          <w:szCs w:val="24"/>
          <w:rtl/>
        </w:rPr>
        <w:t>-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ن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תפקיד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מורפולוגי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שנועד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להפריד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בין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הפועל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לכינוי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גוף</w:t>
      </w:r>
      <w:r w:rsidRPr="00745CC2">
        <w:rPr>
          <w:rFonts w:cs="David"/>
          <w:sz w:val="24"/>
          <w:szCs w:val="24"/>
          <w:rtl/>
        </w:rPr>
        <w:t>. (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نون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الوقاية</w:t>
      </w:r>
      <w:r w:rsidRPr="00745CC2">
        <w:rPr>
          <w:rFonts w:cs="David"/>
          <w:sz w:val="24"/>
          <w:szCs w:val="24"/>
          <w:rtl/>
          <w:lang w:bidi="ar-EG"/>
        </w:rPr>
        <w:t>)</w:t>
      </w:r>
    </w:p>
    <w:p w14:paraId="19CEFE0B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sz w:val="24"/>
          <w:szCs w:val="24"/>
          <w:lang w:bidi="ar-EG"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t>מילים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בעברית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לא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מתייגים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אלא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כן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יש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אליהן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proofErr w:type="spellStart"/>
      <w:r w:rsidRPr="00745CC2">
        <w:rPr>
          <w:rFonts w:cs="David"/>
          <w:b/>
          <w:bCs/>
          <w:sz w:val="24"/>
          <w:szCs w:val="24"/>
          <w:rtl/>
          <w:lang w:bidi="he-IL"/>
        </w:rPr>
        <w:t>רפרנס</w:t>
      </w:r>
      <w:proofErr w:type="spellEnd"/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אחר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כך</w:t>
      </w:r>
      <w:r w:rsidRPr="00745CC2">
        <w:rPr>
          <w:rFonts w:cs="David"/>
          <w:b/>
          <w:bCs/>
          <w:sz w:val="24"/>
          <w:szCs w:val="24"/>
          <w:rtl/>
        </w:rPr>
        <w:t>.</w:t>
      </w:r>
      <w:r w:rsidRPr="00745CC2">
        <w:rPr>
          <w:rFonts w:cs="David"/>
          <w:sz w:val="24"/>
          <w:szCs w:val="24"/>
          <w:rtl/>
        </w:rPr>
        <w:br/>
      </w:r>
      <w:r w:rsidRPr="00745CC2">
        <w:rPr>
          <w:rFonts w:cs="David"/>
          <w:sz w:val="24"/>
          <w:szCs w:val="24"/>
          <w:rtl/>
          <w:lang w:bidi="he-IL"/>
        </w:rPr>
        <w:t>מילים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כמו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מזגן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רמזור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מתייגים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אבל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מילים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כמו</w:t>
      </w:r>
      <w:r w:rsidRPr="00745CC2">
        <w:rPr>
          <w:rFonts w:cs="David"/>
          <w:sz w:val="24"/>
          <w:szCs w:val="24"/>
          <w:rtl/>
        </w:rPr>
        <w:t xml:space="preserve"> </w:t>
      </w:r>
      <w:proofErr w:type="spellStart"/>
      <w:r w:rsidRPr="00745CC2">
        <w:rPr>
          <w:rFonts w:ascii="Arial" w:hAnsi="Arial" w:cs="Arial" w:hint="cs"/>
          <w:sz w:val="24"/>
          <w:szCs w:val="24"/>
          <w:rtl/>
          <w:lang w:bidi="ar-EG"/>
        </w:rPr>
        <w:t>اوتخ</w:t>
      </w:r>
      <w:proofErr w:type="spellEnd"/>
      <w:r w:rsidRPr="00745CC2">
        <w:rPr>
          <w:rFonts w:cs="David"/>
          <w:sz w:val="24"/>
          <w:szCs w:val="24"/>
          <w:rtl/>
          <w:lang w:bidi="ar-EG"/>
        </w:rPr>
        <w:t xml:space="preserve"> (</w:t>
      </w:r>
      <w:r w:rsidRPr="00745CC2">
        <w:rPr>
          <w:rFonts w:cs="David"/>
          <w:sz w:val="24"/>
          <w:szCs w:val="24"/>
          <w:rtl/>
          <w:lang w:bidi="he-IL"/>
        </w:rPr>
        <w:t>אותך</w:t>
      </w:r>
      <w:r w:rsidRPr="00745CC2">
        <w:rPr>
          <w:rFonts w:cs="David"/>
          <w:sz w:val="24"/>
          <w:szCs w:val="24"/>
          <w:rtl/>
        </w:rPr>
        <w:t>)</w:t>
      </w:r>
      <w:r w:rsidRPr="00745CC2">
        <w:rPr>
          <w:rFonts w:cs="David"/>
          <w:sz w:val="24"/>
          <w:szCs w:val="24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מתייגים</w:t>
      </w:r>
      <w:r w:rsidRPr="00745CC2">
        <w:rPr>
          <w:rFonts w:cs="David"/>
          <w:sz w:val="24"/>
          <w:szCs w:val="24"/>
          <w:rtl/>
        </w:rPr>
        <w:t>.</w:t>
      </w:r>
    </w:p>
    <w:p w14:paraId="34F49D13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sz w:val="24"/>
          <w:szCs w:val="24"/>
          <w:lang w:bidi="ar-EG"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t>טקסט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עם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מילים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כמו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סמסטר</w:t>
      </w:r>
      <w:r w:rsidRPr="00745CC2">
        <w:rPr>
          <w:rFonts w:cs="David"/>
          <w:b/>
          <w:bCs/>
          <w:sz w:val="24"/>
          <w:szCs w:val="24"/>
          <w:rtl/>
        </w:rPr>
        <w:t xml:space="preserve">,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הסמסטר</w:t>
      </w:r>
      <w:r w:rsidRPr="00745CC2">
        <w:rPr>
          <w:rFonts w:cs="David"/>
          <w:b/>
          <w:bCs/>
          <w:sz w:val="24"/>
          <w:szCs w:val="24"/>
          <w:rtl/>
        </w:rPr>
        <w:t>-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מדובר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באותו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הסמסטר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באופן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מפורש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מפרידים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בין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הישויות</w:t>
      </w:r>
      <w:r w:rsidRPr="00745CC2">
        <w:rPr>
          <w:rFonts w:cs="David"/>
          <w:sz w:val="24"/>
          <w:szCs w:val="24"/>
          <w:rtl/>
        </w:rPr>
        <w:t>.</w:t>
      </w:r>
    </w:p>
    <w:p w14:paraId="273ABAC5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sz w:val="24"/>
          <w:szCs w:val="24"/>
          <w:rtl/>
          <w:lang w:bidi="he-IL"/>
        </w:rPr>
        <w:t>במקרה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שבו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התייחסות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ליותר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מבין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אדם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אחד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בכינוי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קניין</w:t>
      </w:r>
      <w:r w:rsidRPr="00745CC2">
        <w:rPr>
          <w:rFonts w:cs="David"/>
          <w:sz w:val="24"/>
          <w:szCs w:val="24"/>
          <w:rtl/>
        </w:rPr>
        <w:t xml:space="preserve">, </w:t>
      </w:r>
      <w:r w:rsidRPr="00745CC2">
        <w:rPr>
          <w:rFonts w:cs="David"/>
          <w:sz w:val="24"/>
          <w:szCs w:val="24"/>
          <w:rtl/>
          <w:lang w:bidi="he-IL"/>
        </w:rPr>
        <w:t>יוצרים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תיוג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מקונן</w:t>
      </w:r>
      <w:r w:rsidRPr="00745CC2">
        <w:rPr>
          <w:rFonts w:cs="David"/>
          <w:sz w:val="24"/>
          <w:szCs w:val="24"/>
          <w:rtl/>
        </w:rPr>
        <w:t xml:space="preserve">,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כלומר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מתייגים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שתי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ישויות</w:t>
      </w:r>
      <w:r w:rsidRPr="00745CC2">
        <w:rPr>
          <w:rFonts w:cs="David"/>
          <w:b/>
          <w:bCs/>
          <w:sz w:val="24"/>
          <w:szCs w:val="24"/>
          <w:rtl/>
        </w:rPr>
        <w:t>.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br/>
      </w:r>
      <w:r w:rsidRPr="00745CC2">
        <w:rPr>
          <w:rFonts w:cs="David"/>
          <w:sz w:val="24"/>
          <w:szCs w:val="24"/>
          <w:rtl/>
          <w:lang w:bidi="he-IL"/>
        </w:rPr>
        <w:t>במקרים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אמי</w:t>
      </w:r>
      <w:r w:rsidRPr="00745CC2">
        <w:rPr>
          <w:rFonts w:cs="David"/>
          <w:sz w:val="24"/>
          <w:szCs w:val="24"/>
          <w:rtl/>
        </w:rPr>
        <w:t xml:space="preserve">, </w:t>
      </w:r>
      <w:proofErr w:type="spellStart"/>
      <w:r w:rsidRPr="00745CC2">
        <w:rPr>
          <w:rFonts w:cs="David"/>
          <w:sz w:val="24"/>
          <w:szCs w:val="24"/>
          <w:rtl/>
          <w:lang w:bidi="he-IL"/>
        </w:rPr>
        <w:t>אמך</w:t>
      </w:r>
      <w:proofErr w:type="spellEnd"/>
      <w:r w:rsidRPr="00745CC2">
        <w:rPr>
          <w:rFonts w:cs="David"/>
          <w:sz w:val="24"/>
          <w:szCs w:val="24"/>
          <w:rtl/>
        </w:rPr>
        <w:t xml:space="preserve">- </w:t>
      </w:r>
      <w:r w:rsidRPr="00745CC2">
        <w:rPr>
          <w:rFonts w:cs="David"/>
          <w:sz w:val="24"/>
          <w:szCs w:val="24"/>
          <w:rtl/>
          <w:lang w:bidi="he-IL"/>
        </w:rPr>
        <w:t>תיוג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מקונן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גם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כן</w:t>
      </w:r>
      <w:r w:rsidRPr="00745CC2">
        <w:rPr>
          <w:rFonts w:cs="David"/>
          <w:sz w:val="24"/>
          <w:szCs w:val="24"/>
          <w:rtl/>
        </w:rPr>
        <w:t>.</w:t>
      </w:r>
    </w:p>
    <w:p w14:paraId="131BDB61" w14:textId="77777777" w:rsidR="00745CC2" w:rsidRPr="00745CC2" w:rsidRDefault="00745CC2" w:rsidP="00745CC2">
      <w:pPr>
        <w:pStyle w:val="ListParagraph"/>
        <w:ind w:left="1190"/>
        <w:rPr>
          <w:rFonts w:cs="David"/>
          <w:b/>
          <w:bCs/>
          <w:sz w:val="24"/>
          <w:szCs w:val="24"/>
          <w:rtl/>
          <w:lang w:bidi="ar-EG"/>
        </w:rPr>
      </w:pPr>
      <w:r w:rsidRPr="00745CC2">
        <w:rPr>
          <w:rFonts w:cs="David"/>
          <w:b/>
          <w:bCs/>
          <w:noProof/>
          <w:sz w:val="24"/>
          <w:szCs w:val="24"/>
          <w:lang w:bidi="ar-EG"/>
        </w:rPr>
        <w:drawing>
          <wp:inline distT="0" distB="0" distL="0" distR="0" wp14:anchorId="50A7F1E7" wp14:editId="55F7FF5C">
            <wp:extent cx="1826260" cy="1369695"/>
            <wp:effectExtent l="0" t="0" r="2540" b="1905"/>
            <wp:docPr id="139437741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495" cy="1381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5CC2">
        <w:rPr>
          <w:rFonts w:cs="David"/>
          <w:noProof/>
          <w:sz w:val="24"/>
          <w:szCs w:val="24"/>
        </w:rPr>
        <w:t xml:space="preserve"> </w:t>
      </w:r>
      <w:r w:rsidRPr="00745CC2">
        <w:rPr>
          <w:rFonts w:cs="David"/>
          <w:b/>
          <w:bCs/>
          <w:noProof/>
          <w:sz w:val="24"/>
          <w:szCs w:val="24"/>
          <w:rtl/>
          <w:lang w:bidi="ar-EG"/>
        </w:rPr>
        <w:drawing>
          <wp:inline distT="0" distB="0" distL="0" distR="0" wp14:anchorId="260C6176" wp14:editId="4403BB11">
            <wp:extent cx="2312516" cy="1358900"/>
            <wp:effectExtent l="0" t="0" r="0" b="0"/>
            <wp:docPr id="170453400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3400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18763" cy="136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BDA7A" w14:textId="77777777" w:rsidR="00745CC2" w:rsidRPr="00745CC2" w:rsidRDefault="00745CC2" w:rsidP="00745CC2">
      <w:pPr>
        <w:pStyle w:val="ListParagraph"/>
        <w:ind w:left="1190"/>
        <w:rPr>
          <w:rFonts w:cs="David"/>
          <w:b/>
          <w:bCs/>
          <w:sz w:val="24"/>
          <w:szCs w:val="24"/>
          <w:rtl/>
          <w:lang w:bidi="ar-EG"/>
        </w:rPr>
      </w:pPr>
    </w:p>
    <w:p w14:paraId="77B943AC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rtl/>
          <w:lang w:bidi="ar-EG"/>
        </w:rPr>
      </w:pP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المشكلة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نفس</w:t>
      </w:r>
      <w:r w:rsidRPr="00745CC2">
        <w:rPr>
          <w:rFonts w:ascii="Arial" w:hAnsi="Arial" w:cs="Arial" w:hint="cs"/>
          <w:b/>
          <w:bCs/>
          <w:sz w:val="24"/>
          <w:szCs w:val="24"/>
          <w:highlight w:val="yellow"/>
          <w:rtl/>
          <w:lang w:bidi="ar-EG"/>
        </w:rPr>
        <w:t>ها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- </w:t>
      </w:r>
      <w:proofErr w:type="spellStart"/>
      <w:r w:rsidRPr="00745CC2">
        <w:rPr>
          <w:rFonts w:cs="David"/>
          <w:sz w:val="24"/>
          <w:szCs w:val="24"/>
          <w:rtl/>
        </w:rPr>
        <w:t>מתייגים</w:t>
      </w:r>
      <w:proofErr w:type="spellEnd"/>
    </w:p>
    <w:p w14:paraId="19661705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sz w:val="24"/>
          <w:szCs w:val="24"/>
          <w:rtl/>
          <w:lang w:bidi="ar-EG"/>
        </w:rPr>
      </w:pPr>
      <w:r w:rsidRPr="00745CC2">
        <w:rPr>
          <w:rFonts w:ascii="Arial" w:hAnsi="Arial" w:cs="Arial" w:hint="cs"/>
          <w:sz w:val="24"/>
          <w:szCs w:val="24"/>
          <w:rtl/>
          <w:lang w:bidi="ar-EG"/>
        </w:rPr>
        <w:t>تلات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أقسام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proofErr w:type="spellStart"/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يللي</w:t>
      </w:r>
      <w:proofErr w:type="spellEnd"/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هي</w:t>
      </w:r>
      <w:r w:rsidRPr="00745CC2">
        <w:rPr>
          <w:rFonts w:cs="David"/>
          <w:sz w:val="24"/>
          <w:szCs w:val="24"/>
          <w:rtl/>
          <w:lang w:bidi="ar-EG"/>
        </w:rPr>
        <w:t>-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לא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מתייגים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br/>
      </w:r>
      <w:r w:rsidRPr="00745CC2">
        <w:rPr>
          <w:rFonts w:cs="David"/>
          <w:sz w:val="24"/>
          <w:szCs w:val="24"/>
          <w:rtl/>
          <w:lang w:bidi="he-IL"/>
        </w:rPr>
        <w:t>במשפטים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מסוג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الشغلات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proofErr w:type="spellStart"/>
      <w:r w:rsidRPr="00745CC2">
        <w:rPr>
          <w:rFonts w:ascii="Arial" w:hAnsi="Arial" w:cs="Arial" w:hint="cs"/>
          <w:sz w:val="24"/>
          <w:szCs w:val="24"/>
          <w:rtl/>
          <w:lang w:bidi="ar-EG"/>
        </w:rPr>
        <w:t>يللي</w:t>
      </w:r>
      <w:proofErr w:type="spellEnd"/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هي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כינוי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הגוף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هي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שבא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אחרי</w:t>
      </w:r>
      <w:r w:rsidRPr="00745CC2">
        <w:rPr>
          <w:rFonts w:cs="David"/>
          <w:sz w:val="24"/>
          <w:szCs w:val="24"/>
          <w:rtl/>
        </w:rPr>
        <w:t xml:space="preserve"> </w:t>
      </w:r>
      <w:proofErr w:type="spellStart"/>
      <w:r w:rsidRPr="00745CC2">
        <w:rPr>
          <w:rFonts w:ascii="Arial" w:hAnsi="Arial" w:cs="Arial" w:hint="cs"/>
          <w:sz w:val="24"/>
          <w:szCs w:val="24"/>
          <w:rtl/>
          <w:lang w:bidi="ar-EG"/>
        </w:rPr>
        <w:t>يللي</w:t>
      </w:r>
      <w:proofErr w:type="spellEnd"/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נחשב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לכינוי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חוזר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למילה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شغلات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כאוגד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וחלק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ממבנה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המשפט</w:t>
      </w:r>
    </w:p>
    <w:p w14:paraId="7C8DE644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rtl/>
          <w:lang w:bidi="ar-EG"/>
        </w:rPr>
      </w:pP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برنامج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</w:t>
      </w:r>
      <w:proofErr w:type="gramStart"/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اسم</w:t>
      </w:r>
      <w:r w:rsidRPr="00745CC2">
        <w:rPr>
          <w:rFonts w:ascii="Arial" w:hAnsi="Arial" w:cs="Arial" w:hint="cs"/>
          <w:b/>
          <w:bCs/>
          <w:sz w:val="24"/>
          <w:szCs w:val="24"/>
          <w:highlight w:val="yellow"/>
          <w:rtl/>
          <w:lang w:bidi="ar-EG"/>
        </w:rPr>
        <w:t>و</w:t>
      </w:r>
      <w:proofErr w:type="gramEnd"/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-</w:t>
      </w:r>
      <w:proofErr w:type="spellStart"/>
      <w:r w:rsidRPr="00745CC2">
        <w:rPr>
          <w:rFonts w:cs="David"/>
          <w:sz w:val="24"/>
          <w:szCs w:val="24"/>
          <w:rtl/>
        </w:rPr>
        <w:t>לא</w:t>
      </w:r>
      <w:proofErr w:type="spellEnd"/>
      <w:r w:rsidRPr="00745CC2">
        <w:rPr>
          <w:rFonts w:cs="David"/>
          <w:sz w:val="24"/>
          <w:szCs w:val="24"/>
          <w:rtl/>
        </w:rPr>
        <w:t xml:space="preserve"> </w:t>
      </w:r>
      <w:proofErr w:type="spellStart"/>
      <w:r w:rsidRPr="00745CC2">
        <w:rPr>
          <w:rFonts w:cs="David"/>
          <w:sz w:val="24"/>
          <w:szCs w:val="24"/>
          <w:rtl/>
        </w:rPr>
        <w:t>מתייגים</w:t>
      </w:r>
      <w:proofErr w:type="spellEnd"/>
    </w:p>
    <w:p w14:paraId="6AC7BB88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t>שני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אנשים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שונים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עם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אותו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שם</w:t>
      </w:r>
      <w:r w:rsidRPr="00745CC2">
        <w:rPr>
          <w:rFonts w:cs="David"/>
          <w:b/>
          <w:bCs/>
          <w:sz w:val="24"/>
          <w:szCs w:val="24"/>
          <w:rtl/>
        </w:rPr>
        <w:t xml:space="preserve">- </w:t>
      </w:r>
      <w:r w:rsidRPr="00745CC2">
        <w:rPr>
          <w:rFonts w:cs="David"/>
          <w:sz w:val="24"/>
          <w:szCs w:val="24"/>
          <w:rtl/>
          <w:lang w:bidi="he-IL"/>
        </w:rPr>
        <w:t>מייצרים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שרשראות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אזכור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נפרדות</w:t>
      </w:r>
      <w:r w:rsidRPr="00745CC2">
        <w:rPr>
          <w:rFonts w:cs="David"/>
          <w:sz w:val="24"/>
          <w:szCs w:val="24"/>
          <w:rtl/>
        </w:rPr>
        <w:t xml:space="preserve">. </w:t>
      </w:r>
    </w:p>
    <w:p w14:paraId="0B7241ED" w14:textId="09990F0B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t>אתה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היפותטי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ואנשים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proofErr w:type="spellStart"/>
      <w:r w:rsidRPr="00745CC2">
        <w:rPr>
          <w:rFonts w:cs="David"/>
          <w:b/>
          <w:bCs/>
          <w:sz w:val="24"/>
          <w:szCs w:val="24"/>
          <w:rtl/>
          <w:lang w:bidi="he-IL"/>
        </w:rPr>
        <w:t>היפותטייים</w:t>
      </w:r>
      <w:proofErr w:type="spellEnd"/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לפתוח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שרשרת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תיוגים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שנקראת</w:t>
      </w:r>
      <w:r w:rsidRPr="00745CC2">
        <w:rPr>
          <w:rFonts w:cs="David"/>
          <w:sz w:val="24"/>
          <w:szCs w:val="24"/>
          <w:rtl/>
        </w:rPr>
        <w:t xml:space="preserve"> "</w:t>
      </w:r>
      <w:r w:rsidRPr="00745CC2">
        <w:rPr>
          <w:rFonts w:cs="David"/>
          <w:sz w:val="24"/>
          <w:szCs w:val="24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</w:rPr>
        <w:t>أشخاص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</w:rPr>
        <w:t>افتراضيون</w:t>
      </w:r>
      <w:r w:rsidRPr="00745CC2">
        <w:rPr>
          <w:rFonts w:cs="David"/>
          <w:sz w:val="24"/>
          <w:szCs w:val="24"/>
          <w:rtl/>
        </w:rPr>
        <w:t xml:space="preserve">" </w:t>
      </w:r>
      <w:r w:rsidRPr="00745CC2">
        <w:rPr>
          <w:rFonts w:cs="David"/>
          <w:sz w:val="24"/>
          <w:szCs w:val="24"/>
          <w:rtl/>
          <w:lang w:bidi="he-IL"/>
        </w:rPr>
        <w:t>והיא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תשמש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אותי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פעם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ישויות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היפותטיות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ברבים</w:t>
      </w:r>
      <w:r w:rsidRPr="00745CC2">
        <w:rPr>
          <w:rFonts w:cs="David"/>
          <w:sz w:val="24"/>
          <w:szCs w:val="24"/>
          <w:rtl/>
        </w:rPr>
        <w:t>.</w:t>
      </w:r>
      <w:r w:rsidRPr="00745CC2">
        <w:rPr>
          <w:rFonts w:cs="David"/>
          <w:sz w:val="24"/>
          <w:szCs w:val="24"/>
          <w:rtl/>
        </w:rPr>
        <w:br/>
      </w:r>
    </w:p>
    <w:p w14:paraId="3957DBC4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sz w:val="24"/>
          <w:szCs w:val="24"/>
          <w:rtl/>
          <w:lang w:bidi="he-IL"/>
        </w:rPr>
        <w:t>ההקשר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בין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שני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</w:rPr>
        <w:t>NPs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עשוי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לכלול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מספר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שנים</w:t>
      </w:r>
      <w:r w:rsidRPr="00745CC2">
        <w:rPr>
          <w:rFonts w:cs="David"/>
          <w:sz w:val="24"/>
          <w:szCs w:val="24"/>
          <w:rtl/>
        </w:rPr>
        <w:t xml:space="preserve">, </w:t>
      </w:r>
      <w:r w:rsidRPr="00745CC2">
        <w:rPr>
          <w:rFonts w:cs="David"/>
          <w:sz w:val="24"/>
          <w:szCs w:val="24"/>
          <w:rtl/>
          <w:lang w:bidi="he-IL"/>
        </w:rPr>
        <w:t>כמות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כסף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מספר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אנשים</w:t>
      </w:r>
      <w:r w:rsidRPr="00745CC2">
        <w:rPr>
          <w:rFonts w:cs="David"/>
          <w:sz w:val="24"/>
          <w:szCs w:val="24"/>
          <w:rtl/>
        </w:rPr>
        <w:t xml:space="preserve">.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לתייג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הביטויים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הזמניים</w:t>
      </w:r>
      <w:r w:rsidRPr="00745CC2">
        <w:rPr>
          <w:rFonts w:cs="David"/>
          <w:sz w:val="24"/>
          <w:szCs w:val="24"/>
          <w:rtl/>
        </w:rPr>
        <w:t>/</w:t>
      </w:r>
      <w:r w:rsidRPr="00745CC2">
        <w:rPr>
          <w:rFonts w:cs="David"/>
          <w:sz w:val="24"/>
          <w:szCs w:val="24"/>
          <w:rtl/>
          <w:lang w:bidi="he-IL"/>
        </w:rPr>
        <w:t>כספיים</w:t>
      </w:r>
      <w:r w:rsidRPr="00745CC2">
        <w:rPr>
          <w:rFonts w:cs="David"/>
          <w:sz w:val="24"/>
          <w:szCs w:val="24"/>
          <w:rtl/>
        </w:rPr>
        <w:t>/</w:t>
      </w:r>
      <w:r w:rsidRPr="00745CC2">
        <w:rPr>
          <w:rFonts w:cs="David"/>
          <w:sz w:val="24"/>
          <w:szCs w:val="24"/>
          <w:rtl/>
          <w:lang w:bidi="he-IL"/>
        </w:rPr>
        <w:t>מספריים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יחד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עם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הישות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שאליה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הוא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מתייחס</w:t>
      </w:r>
      <w:r w:rsidRPr="00745CC2">
        <w:rPr>
          <w:rFonts w:cs="David"/>
          <w:sz w:val="24"/>
          <w:szCs w:val="24"/>
          <w:rtl/>
        </w:rPr>
        <w:t>.</w:t>
      </w:r>
    </w:p>
    <w:p w14:paraId="7A96D0A8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sz w:val="24"/>
          <w:szCs w:val="24"/>
          <w:rtl/>
          <w:lang w:bidi="he-IL"/>
        </w:rPr>
        <w:t>כשיש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לנו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ישויות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מאוזכרות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באפור</w:t>
      </w:r>
    </w:p>
    <w:p w14:paraId="06CFB0CD" w14:textId="77777777" w:rsidR="00745CC2" w:rsidRPr="00745CC2" w:rsidRDefault="00745CC2" w:rsidP="00745CC2">
      <w:pPr>
        <w:pStyle w:val="ListParagraph"/>
        <w:ind w:left="1190"/>
        <w:rPr>
          <w:rFonts w:cs="David"/>
          <w:sz w:val="24"/>
          <w:szCs w:val="24"/>
          <w:rtl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lastRenderedPageBreak/>
        <w:t>משאירים</w:t>
      </w:r>
      <w:r w:rsidRPr="00745CC2">
        <w:rPr>
          <w:rFonts w:cs="David"/>
          <w:b/>
          <w:bCs/>
          <w:sz w:val="24"/>
          <w:szCs w:val="24"/>
          <w:rtl/>
        </w:rPr>
        <w:t>-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תקופות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מוכרות</w:t>
      </w:r>
      <w:r w:rsidRPr="00745CC2">
        <w:rPr>
          <w:rFonts w:cs="David"/>
          <w:sz w:val="24"/>
          <w:szCs w:val="24"/>
          <w:rtl/>
        </w:rPr>
        <w:t xml:space="preserve">, </w:t>
      </w:r>
      <w:r w:rsidRPr="00745CC2">
        <w:rPr>
          <w:rFonts w:cs="David"/>
          <w:sz w:val="24"/>
          <w:szCs w:val="24"/>
          <w:rtl/>
          <w:lang w:bidi="he-IL"/>
        </w:rPr>
        <w:t>אנשים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מוכרים</w:t>
      </w:r>
      <w:r w:rsidRPr="00745CC2">
        <w:rPr>
          <w:rFonts w:cs="David"/>
          <w:sz w:val="24"/>
          <w:szCs w:val="24"/>
          <w:rtl/>
        </w:rPr>
        <w:t xml:space="preserve">, </w:t>
      </w:r>
      <w:r w:rsidRPr="00745CC2">
        <w:rPr>
          <w:rFonts w:cs="David"/>
          <w:sz w:val="24"/>
          <w:szCs w:val="24"/>
          <w:rtl/>
          <w:lang w:bidi="he-IL"/>
        </w:rPr>
        <w:t>הגדרות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עמים</w:t>
      </w:r>
      <w:r w:rsidRPr="00745CC2">
        <w:rPr>
          <w:rFonts w:cs="David"/>
          <w:sz w:val="24"/>
          <w:szCs w:val="24"/>
          <w:rtl/>
        </w:rPr>
        <w:t>.</w:t>
      </w:r>
      <w:r w:rsidRPr="00745CC2">
        <w:rPr>
          <w:rFonts w:cs="David"/>
          <w:sz w:val="24"/>
          <w:szCs w:val="24"/>
          <w:rtl/>
        </w:rPr>
        <w:br/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לא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משאירים</w:t>
      </w:r>
      <w:r w:rsidRPr="00745CC2">
        <w:rPr>
          <w:rFonts w:cs="David"/>
          <w:b/>
          <w:bCs/>
          <w:sz w:val="24"/>
          <w:szCs w:val="24"/>
          <w:rtl/>
        </w:rPr>
        <w:t>-</w:t>
      </w:r>
      <w:r w:rsidRPr="00745CC2">
        <w:rPr>
          <w:rFonts w:cs="David"/>
          <w:sz w:val="24"/>
          <w:szCs w:val="24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מספרים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אירועים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שמצוינים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כישות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מקושר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לישות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נוספת</w:t>
      </w:r>
      <w:r w:rsidRPr="00745CC2">
        <w:rPr>
          <w:rFonts w:cs="David"/>
          <w:sz w:val="24"/>
          <w:szCs w:val="24"/>
          <w:rtl/>
        </w:rPr>
        <w:t xml:space="preserve">. </w:t>
      </w:r>
      <w:r w:rsidRPr="00745CC2">
        <w:rPr>
          <w:rFonts w:cs="David"/>
          <w:sz w:val="24"/>
          <w:szCs w:val="24"/>
          <w:rtl/>
          <w:lang w:bidi="he-IL"/>
        </w:rPr>
        <w:t>למשל</w:t>
      </w:r>
      <w:r w:rsidRPr="00745CC2">
        <w:rPr>
          <w:rFonts w:cs="David"/>
          <w:sz w:val="24"/>
          <w:szCs w:val="24"/>
          <w:rtl/>
        </w:rPr>
        <w:t>:</w:t>
      </w:r>
      <w:r w:rsidRPr="00745CC2">
        <w:rPr>
          <w:rFonts w:cs="David"/>
          <w:sz w:val="24"/>
          <w:szCs w:val="24"/>
          <w:rtl/>
        </w:rPr>
        <w:br/>
      </w:r>
      <w:r w:rsidRPr="00745CC2">
        <w:rPr>
          <w:rFonts w:cs="David"/>
          <w:noProof/>
          <w:sz w:val="24"/>
          <w:szCs w:val="24"/>
          <w:rtl/>
        </w:rPr>
        <w:drawing>
          <wp:inline distT="0" distB="0" distL="0" distR="0" wp14:anchorId="5E2C54CA" wp14:editId="65BDAC83">
            <wp:extent cx="2172003" cy="1476581"/>
            <wp:effectExtent l="0" t="0" r="0" b="9525"/>
            <wp:docPr id="1412504689" name="תמונה 1" descr="תמונה שמכילה טקסט, גופן, כתב יד, מספר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04689" name="תמונה 1" descr="תמונה שמכילה טקסט, גופן, כתב יד, מספר&#10;&#10;התיאור נוצר באופן אוטומטי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4E02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بالنهاية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>-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מתייגים</w:t>
      </w:r>
      <w:r w:rsidRPr="00745CC2">
        <w:rPr>
          <w:rFonts w:cs="David"/>
          <w:sz w:val="24"/>
          <w:szCs w:val="24"/>
          <w:rtl/>
        </w:rPr>
        <w:t>.</w:t>
      </w:r>
      <w:r w:rsidRPr="00745CC2">
        <w:rPr>
          <w:rFonts w:cs="David"/>
          <w:sz w:val="24"/>
          <w:szCs w:val="24"/>
          <w:rtl/>
        </w:rPr>
        <w:br/>
      </w: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وقتها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>-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מתייגים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רק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אזכור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לזמן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ספציפי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קודם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לכן</w:t>
      </w:r>
      <w:r w:rsidRPr="00745CC2">
        <w:rPr>
          <w:rFonts w:cs="David"/>
          <w:sz w:val="24"/>
          <w:szCs w:val="24"/>
          <w:rtl/>
        </w:rPr>
        <w:t xml:space="preserve">. </w:t>
      </w:r>
    </w:p>
    <w:p w14:paraId="67C3A300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t>במידה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ויש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טעויות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תמלול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בטקסט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אבל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המתייג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יכול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להסיק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בוודאות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נאמר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לתייג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כמה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שאמור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היה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להיאמר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ולא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לפי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שכתוב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בפועל</w:t>
      </w:r>
      <w:r w:rsidRPr="00745CC2">
        <w:rPr>
          <w:rFonts w:cs="David"/>
          <w:sz w:val="24"/>
          <w:szCs w:val="24"/>
          <w:rtl/>
        </w:rPr>
        <w:t xml:space="preserve">. </w:t>
      </w:r>
      <w:r w:rsidRPr="00745CC2">
        <w:rPr>
          <w:rFonts w:cs="David"/>
          <w:sz w:val="24"/>
          <w:szCs w:val="24"/>
          <w:rtl/>
          <w:lang w:bidi="he-IL"/>
        </w:rPr>
        <w:t>למשל</w:t>
      </w:r>
      <w:r w:rsidRPr="00745CC2">
        <w:rPr>
          <w:rFonts w:cs="David"/>
          <w:sz w:val="24"/>
          <w:szCs w:val="24"/>
          <w:rtl/>
        </w:rPr>
        <w:t xml:space="preserve">: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الصورة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هو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عمار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כשלפי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קונטקסט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ברור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שהכוונה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היא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صورة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أبو</w:t>
      </w:r>
      <w:r w:rsidRPr="00745CC2">
        <w:rPr>
          <w:rFonts w:cs="David"/>
          <w:sz w:val="24"/>
          <w:szCs w:val="24"/>
          <w:rtl/>
          <w:lang w:bidi="ar-EG"/>
        </w:rPr>
        <w:t xml:space="preserve"> </w:t>
      </w:r>
      <w:r w:rsidRPr="00745CC2">
        <w:rPr>
          <w:rFonts w:ascii="Arial" w:hAnsi="Arial" w:cs="Arial" w:hint="cs"/>
          <w:sz w:val="24"/>
          <w:szCs w:val="24"/>
          <w:rtl/>
          <w:lang w:bidi="ar-EG"/>
        </w:rPr>
        <w:t>عمار</w:t>
      </w:r>
      <w:r w:rsidRPr="00745CC2">
        <w:rPr>
          <w:rFonts w:cs="David"/>
          <w:sz w:val="24"/>
          <w:szCs w:val="24"/>
          <w:rtl/>
          <w:lang w:bidi="ar-EG"/>
        </w:rPr>
        <w:t xml:space="preserve"> (</w:t>
      </w:r>
      <w:r w:rsidRPr="00745CC2">
        <w:rPr>
          <w:rFonts w:cs="David"/>
          <w:sz w:val="24"/>
          <w:szCs w:val="24"/>
          <w:rtl/>
          <w:lang w:bidi="he-IL"/>
        </w:rPr>
        <w:t>תמונתו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של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ערפאת</w:t>
      </w:r>
      <w:r w:rsidRPr="00745CC2">
        <w:rPr>
          <w:rFonts w:cs="David"/>
          <w:sz w:val="24"/>
          <w:szCs w:val="24"/>
          <w:rtl/>
        </w:rPr>
        <w:t>)</w:t>
      </w:r>
    </w:p>
    <w:p w14:paraId="57513601" w14:textId="77777777" w:rsidR="00745CC2" w:rsidRPr="00745CC2" w:rsidRDefault="00745CC2" w:rsidP="00745CC2">
      <w:pPr>
        <w:pStyle w:val="ListParagraph"/>
        <w:ind w:left="1190"/>
        <w:rPr>
          <w:rFonts w:cs="David"/>
          <w:sz w:val="24"/>
          <w:szCs w:val="24"/>
          <w:rtl/>
          <w:lang w:bidi="ar-EG"/>
        </w:rPr>
      </w:pPr>
      <w:r w:rsidRPr="00745CC2">
        <w:rPr>
          <w:rFonts w:cs="David"/>
          <w:noProof/>
          <w:sz w:val="24"/>
          <w:szCs w:val="24"/>
          <w:rtl/>
        </w:rPr>
        <w:drawing>
          <wp:inline distT="0" distB="0" distL="0" distR="0" wp14:anchorId="38900358" wp14:editId="07DD1413">
            <wp:extent cx="1598433" cy="996950"/>
            <wp:effectExtent l="0" t="0" r="1905" b="0"/>
            <wp:docPr id="739456252" name="תמונה 1" descr="תמונה שמכילה טקסט, כתב יד, גופן, קליגרפיה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56252" name="תמונה 1" descr="תמונה שמכילה טקסט, כתב יד, גופן, קליגרפיה&#10;&#10;התיאור נוצר באופן אוטומטי"/>
                    <pic:cNvPicPr/>
                  </pic:nvPicPr>
                  <pic:blipFill rotWithShape="1">
                    <a:blip r:embed="rId15"/>
                    <a:srcRect l="43903" b="1009"/>
                    <a:stretch/>
                  </pic:blipFill>
                  <pic:spPr bwMode="auto">
                    <a:xfrm>
                      <a:off x="0" y="0"/>
                      <a:ext cx="1601510" cy="99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199A1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t>הדובר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מתייחס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לדבר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שנאמר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שלא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על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ידו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באמצעות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שימוש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בגוף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ראשון</w:t>
      </w:r>
      <w:r w:rsidRPr="00745CC2">
        <w:rPr>
          <w:rFonts w:cs="David"/>
          <w:b/>
          <w:bCs/>
          <w:sz w:val="24"/>
          <w:szCs w:val="24"/>
          <w:rtl/>
        </w:rPr>
        <w:t>: "</w:t>
      </w: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انا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>"</w:t>
      </w:r>
      <w:r w:rsidRPr="00745CC2">
        <w:rPr>
          <w:rFonts w:cs="David"/>
          <w:b/>
          <w:bCs/>
          <w:sz w:val="24"/>
          <w:szCs w:val="24"/>
          <w:rtl/>
        </w:rPr>
        <w:t>, "</w:t>
      </w: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احنا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>"</w:t>
      </w:r>
      <w:r w:rsidRPr="00745CC2">
        <w:rPr>
          <w:rFonts w:cs="David"/>
          <w:sz w:val="24"/>
          <w:szCs w:val="24"/>
          <w:rtl/>
          <w:lang w:bidi="ar-EG"/>
        </w:rPr>
        <w:br/>
      </w:r>
      <w:r w:rsidRPr="00745CC2">
        <w:rPr>
          <w:rFonts w:cs="David"/>
          <w:sz w:val="24"/>
          <w:szCs w:val="24"/>
          <w:rtl/>
        </w:rPr>
        <w:t xml:space="preserve">1. </w:t>
      </w:r>
      <w:r w:rsidRPr="00745CC2">
        <w:rPr>
          <w:rFonts w:cs="David"/>
          <w:sz w:val="24"/>
          <w:szCs w:val="24"/>
          <w:rtl/>
          <w:lang w:bidi="he-IL"/>
        </w:rPr>
        <w:t>אנחנו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יודעים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למי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מתייחס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הדובר</w:t>
      </w:r>
      <w:r w:rsidRPr="00745CC2">
        <w:rPr>
          <w:rFonts w:cs="David"/>
          <w:sz w:val="24"/>
          <w:szCs w:val="24"/>
          <w:rtl/>
        </w:rPr>
        <w:t xml:space="preserve">,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לשייך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הישות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לכינוי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גוף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זה</w:t>
      </w:r>
      <w:r w:rsidRPr="00745CC2">
        <w:rPr>
          <w:rFonts w:cs="David"/>
          <w:sz w:val="24"/>
          <w:szCs w:val="24"/>
          <w:rtl/>
        </w:rPr>
        <w:t>.</w:t>
      </w:r>
    </w:p>
    <w:p w14:paraId="29BFAA74" w14:textId="77777777" w:rsidR="00745CC2" w:rsidRPr="00745CC2" w:rsidRDefault="00745CC2" w:rsidP="00745CC2">
      <w:pPr>
        <w:pStyle w:val="ListParagraph"/>
        <w:ind w:left="1190"/>
        <w:rPr>
          <w:rFonts w:cs="David"/>
          <w:sz w:val="24"/>
          <w:szCs w:val="24"/>
          <w:rtl/>
        </w:rPr>
      </w:pPr>
      <w:r w:rsidRPr="00745CC2">
        <w:rPr>
          <w:rFonts w:cs="David"/>
          <w:sz w:val="24"/>
          <w:szCs w:val="24"/>
          <w:rtl/>
        </w:rPr>
        <w:t xml:space="preserve">2. </w:t>
      </w:r>
      <w:r w:rsidRPr="00745CC2">
        <w:rPr>
          <w:rFonts w:cs="David"/>
          <w:sz w:val="24"/>
          <w:szCs w:val="24"/>
          <w:rtl/>
          <w:lang w:bidi="he-IL"/>
        </w:rPr>
        <w:t>אחנו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לא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יודעים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למי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מתייחס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הדובר</w:t>
      </w:r>
      <w:r w:rsidRPr="00745CC2">
        <w:rPr>
          <w:rFonts w:cs="David"/>
          <w:sz w:val="24"/>
          <w:szCs w:val="24"/>
          <w:rtl/>
        </w:rPr>
        <w:t xml:space="preserve">,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לשייך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את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הישות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לכינוי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הגוף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ההיפותטי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המתאים</w:t>
      </w:r>
      <w:r w:rsidRPr="00745CC2">
        <w:rPr>
          <w:rFonts w:cs="David"/>
          <w:sz w:val="24"/>
          <w:szCs w:val="24"/>
          <w:rtl/>
        </w:rPr>
        <w:t xml:space="preserve">.  </w:t>
      </w:r>
    </w:p>
    <w:p w14:paraId="38FAEC5F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rtl/>
          <w:lang w:bidi="ar-EG"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t>יש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להפריד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בין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כינויי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הגוף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ההיפותטיים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>"</w:t>
      </w: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انا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>"</w:t>
      </w:r>
      <w:r w:rsidRPr="00745CC2">
        <w:rPr>
          <w:rFonts w:cs="David"/>
          <w:b/>
          <w:bCs/>
          <w:sz w:val="24"/>
          <w:szCs w:val="24"/>
          <w:lang w:bidi="ar-EG"/>
        </w:rPr>
        <w:t>'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 "</w:t>
      </w: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انت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>"</w:t>
      </w:r>
      <w:r w:rsidRPr="00745CC2">
        <w:rPr>
          <w:rFonts w:cs="David"/>
          <w:b/>
          <w:bCs/>
          <w:sz w:val="24"/>
          <w:szCs w:val="24"/>
          <w:rtl/>
        </w:rPr>
        <w:t>.</w:t>
      </w:r>
    </w:p>
    <w:p w14:paraId="0D4AD640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b/>
          <w:bCs/>
          <w:sz w:val="24"/>
          <w:szCs w:val="24"/>
          <w:rtl/>
        </w:rPr>
        <w:t>"</w:t>
      </w:r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فلان</w:t>
      </w:r>
      <w:proofErr w:type="gramStart"/>
      <w:r w:rsidRPr="00745CC2">
        <w:rPr>
          <w:rFonts w:cs="David"/>
          <w:b/>
          <w:bCs/>
          <w:sz w:val="24"/>
          <w:szCs w:val="24"/>
          <w:rtl/>
          <w:lang w:bidi="ar-EG"/>
        </w:rPr>
        <w:t>"  "</w:t>
      </w:r>
      <w:proofErr w:type="gramEnd"/>
      <w:r w:rsidRPr="00745CC2">
        <w:rPr>
          <w:rFonts w:ascii="Arial" w:hAnsi="Arial" w:cs="Arial" w:hint="cs"/>
          <w:b/>
          <w:bCs/>
          <w:sz w:val="24"/>
          <w:szCs w:val="24"/>
          <w:rtl/>
          <w:lang w:bidi="ar-EG"/>
        </w:rPr>
        <w:t>حدا</w:t>
      </w:r>
      <w:r w:rsidRPr="00745CC2">
        <w:rPr>
          <w:rFonts w:cs="David"/>
          <w:b/>
          <w:bCs/>
          <w:sz w:val="24"/>
          <w:szCs w:val="24"/>
          <w:rtl/>
          <w:lang w:bidi="ar-EG"/>
        </w:rPr>
        <w:t xml:space="preserve">":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לתייג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באותו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התיוג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על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פי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האזכור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הראשון</w:t>
      </w:r>
      <w:r w:rsidRPr="00745CC2">
        <w:rPr>
          <w:rFonts w:cs="David"/>
          <w:sz w:val="24"/>
          <w:szCs w:val="24"/>
          <w:rtl/>
        </w:rPr>
        <w:t>.</w:t>
      </w:r>
    </w:p>
    <w:p w14:paraId="0B0A11A5" w14:textId="77777777" w:rsidR="00745CC2" w:rsidRPr="00745CC2" w:rsidRDefault="00745CC2" w:rsidP="00745CC2">
      <w:pPr>
        <w:pStyle w:val="ListParagraph"/>
        <w:numPr>
          <w:ilvl w:val="0"/>
          <w:numId w:val="40"/>
        </w:numPr>
        <w:bidi/>
        <w:rPr>
          <w:rFonts w:cs="David"/>
          <w:b/>
          <w:bCs/>
          <w:sz w:val="24"/>
          <w:szCs w:val="24"/>
          <w:lang w:bidi="ar-EG"/>
        </w:rPr>
      </w:pPr>
      <w:r w:rsidRPr="00745CC2">
        <w:rPr>
          <w:rFonts w:cs="David"/>
          <w:b/>
          <w:bCs/>
          <w:sz w:val="24"/>
          <w:szCs w:val="24"/>
          <w:rtl/>
          <w:lang w:bidi="he-IL"/>
        </w:rPr>
        <w:t>שתי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מילים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נרדפות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שמאזכרות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את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אותה</w:t>
      </w:r>
      <w:r w:rsidRPr="00745CC2">
        <w:rPr>
          <w:rFonts w:cs="David"/>
          <w:b/>
          <w:bCs/>
          <w:sz w:val="24"/>
          <w:szCs w:val="24"/>
          <w:rtl/>
        </w:rPr>
        <w:t xml:space="preserve"> </w:t>
      </w:r>
      <w:r w:rsidRPr="00745CC2">
        <w:rPr>
          <w:rFonts w:cs="David"/>
          <w:b/>
          <w:bCs/>
          <w:sz w:val="24"/>
          <w:szCs w:val="24"/>
          <w:rtl/>
          <w:lang w:bidi="he-IL"/>
        </w:rPr>
        <w:t>הישות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כמו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למשל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המילה</w:t>
      </w:r>
      <w:r w:rsidRPr="00745CC2">
        <w:rPr>
          <w:rFonts w:cs="David"/>
          <w:sz w:val="24"/>
          <w:szCs w:val="24"/>
          <w:rtl/>
        </w:rPr>
        <w:t xml:space="preserve"> "</w:t>
      </w:r>
      <w:r w:rsidRPr="00745CC2">
        <w:rPr>
          <w:rFonts w:cs="David"/>
          <w:sz w:val="24"/>
          <w:szCs w:val="24"/>
          <w:rtl/>
          <w:lang w:bidi="he-IL"/>
        </w:rPr>
        <w:t>אזרחים</w:t>
      </w:r>
      <w:r w:rsidRPr="00745CC2">
        <w:rPr>
          <w:rFonts w:cs="David"/>
          <w:sz w:val="24"/>
          <w:szCs w:val="24"/>
          <w:rtl/>
        </w:rPr>
        <w:t xml:space="preserve">" </w:t>
      </w:r>
      <w:r w:rsidRPr="00745CC2">
        <w:rPr>
          <w:rFonts w:cs="David"/>
          <w:sz w:val="24"/>
          <w:szCs w:val="24"/>
          <w:rtl/>
          <w:lang w:bidi="he-IL"/>
        </w:rPr>
        <w:t>יש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לתייג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באותו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התיוג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על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פי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האזכור</w:t>
      </w:r>
      <w:r w:rsidRPr="00745CC2">
        <w:rPr>
          <w:rFonts w:cs="David"/>
          <w:sz w:val="24"/>
          <w:szCs w:val="24"/>
          <w:rtl/>
        </w:rPr>
        <w:t xml:space="preserve"> </w:t>
      </w:r>
      <w:r w:rsidRPr="00745CC2">
        <w:rPr>
          <w:rFonts w:cs="David"/>
          <w:sz w:val="24"/>
          <w:szCs w:val="24"/>
          <w:rtl/>
          <w:lang w:bidi="he-IL"/>
        </w:rPr>
        <w:t>הראשון</w:t>
      </w:r>
      <w:r w:rsidRPr="00745CC2">
        <w:rPr>
          <w:rFonts w:cs="David"/>
          <w:sz w:val="24"/>
          <w:szCs w:val="24"/>
          <w:rtl/>
        </w:rPr>
        <w:t xml:space="preserve">. </w:t>
      </w:r>
      <w:r w:rsidRPr="00745CC2">
        <w:rPr>
          <w:rFonts w:cs="David"/>
          <w:sz w:val="24"/>
          <w:szCs w:val="24"/>
          <w:rtl/>
          <w:lang w:bidi="ar-EG"/>
        </w:rPr>
        <w:br/>
      </w:r>
      <w:r w:rsidRPr="00745CC2">
        <w:rPr>
          <w:rFonts w:cs="David"/>
          <w:sz w:val="24"/>
          <w:szCs w:val="24"/>
          <w:rtl/>
        </w:rPr>
        <w:br/>
      </w:r>
    </w:p>
    <w:p w14:paraId="1C53A9DB" w14:textId="77777777" w:rsidR="00745CC2" w:rsidRPr="00745CC2" w:rsidRDefault="00745CC2" w:rsidP="00745CC2">
      <w:pPr>
        <w:rPr>
          <w:rFonts w:cs="David"/>
          <w:b/>
          <w:bCs/>
          <w:sz w:val="24"/>
          <w:szCs w:val="24"/>
          <w:rtl/>
        </w:rPr>
      </w:pPr>
    </w:p>
    <w:p w14:paraId="5511A7EB" w14:textId="1EDCA484" w:rsidR="00745CC2" w:rsidRPr="00745CC2" w:rsidRDefault="00745CC2">
      <w:pPr>
        <w:rPr>
          <w:sz w:val="24"/>
          <w:szCs w:val="24"/>
          <w:lang w:val="ru-RU"/>
        </w:rPr>
      </w:pPr>
    </w:p>
    <w:sectPr w:rsidR="00745CC2" w:rsidRPr="00745CC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645"/>
    <w:multiLevelType w:val="multilevel"/>
    <w:tmpl w:val="0CC0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02A70"/>
    <w:multiLevelType w:val="multilevel"/>
    <w:tmpl w:val="6F8CA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42045"/>
    <w:multiLevelType w:val="multilevel"/>
    <w:tmpl w:val="3E00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C6596"/>
    <w:multiLevelType w:val="multilevel"/>
    <w:tmpl w:val="F9A6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E77C2"/>
    <w:multiLevelType w:val="multilevel"/>
    <w:tmpl w:val="417EE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E60E4"/>
    <w:multiLevelType w:val="multilevel"/>
    <w:tmpl w:val="A34E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378F4"/>
    <w:multiLevelType w:val="multilevel"/>
    <w:tmpl w:val="0C42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678C3"/>
    <w:multiLevelType w:val="multilevel"/>
    <w:tmpl w:val="3422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53924"/>
    <w:multiLevelType w:val="multilevel"/>
    <w:tmpl w:val="BA14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E17A51"/>
    <w:multiLevelType w:val="multilevel"/>
    <w:tmpl w:val="A8962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E4722"/>
    <w:multiLevelType w:val="multilevel"/>
    <w:tmpl w:val="31D2CE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F10AA5"/>
    <w:multiLevelType w:val="multilevel"/>
    <w:tmpl w:val="361051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937D3F"/>
    <w:multiLevelType w:val="multilevel"/>
    <w:tmpl w:val="35F2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D71C2"/>
    <w:multiLevelType w:val="multilevel"/>
    <w:tmpl w:val="C558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85CD6"/>
    <w:multiLevelType w:val="multilevel"/>
    <w:tmpl w:val="9C36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257B6A"/>
    <w:multiLevelType w:val="multilevel"/>
    <w:tmpl w:val="E73211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4D6952"/>
    <w:multiLevelType w:val="multilevel"/>
    <w:tmpl w:val="8884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9F3317"/>
    <w:multiLevelType w:val="multilevel"/>
    <w:tmpl w:val="64C8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B1338"/>
    <w:multiLevelType w:val="multilevel"/>
    <w:tmpl w:val="23F4B9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3E0E7B"/>
    <w:multiLevelType w:val="multilevel"/>
    <w:tmpl w:val="7870F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66017F"/>
    <w:multiLevelType w:val="multilevel"/>
    <w:tmpl w:val="0E1C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22922"/>
    <w:multiLevelType w:val="multilevel"/>
    <w:tmpl w:val="9252E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2D60D1"/>
    <w:multiLevelType w:val="multilevel"/>
    <w:tmpl w:val="2086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9A02A2"/>
    <w:multiLevelType w:val="multilevel"/>
    <w:tmpl w:val="7C1C9E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1A3AC3"/>
    <w:multiLevelType w:val="hybridMultilevel"/>
    <w:tmpl w:val="1EBC6E00"/>
    <w:lvl w:ilvl="0" w:tplc="04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5" w15:restartNumberingAfterBreak="0">
    <w:nsid w:val="572C0E3D"/>
    <w:multiLevelType w:val="multilevel"/>
    <w:tmpl w:val="E6C2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076B6F"/>
    <w:multiLevelType w:val="multilevel"/>
    <w:tmpl w:val="8C36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5D1BCE"/>
    <w:multiLevelType w:val="multilevel"/>
    <w:tmpl w:val="BC06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F7964"/>
    <w:multiLevelType w:val="multilevel"/>
    <w:tmpl w:val="9C40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664B77"/>
    <w:multiLevelType w:val="multilevel"/>
    <w:tmpl w:val="99BE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900144"/>
    <w:multiLevelType w:val="multilevel"/>
    <w:tmpl w:val="9A86A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C2BAD"/>
    <w:multiLevelType w:val="multilevel"/>
    <w:tmpl w:val="8896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BA0CA6"/>
    <w:multiLevelType w:val="multilevel"/>
    <w:tmpl w:val="F9EC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D9672D"/>
    <w:multiLevelType w:val="multilevel"/>
    <w:tmpl w:val="09B4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2E6019"/>
    <w:multiLevelType w:val="multilevel"/>
    <w:tmpl w:val="EBB05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8C2F93"/>
    <w:multiLevelType w:val="multilevel"/>
    <w:tmpl w:val="9D1A6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EA48FD"/>
    <w:multiLevelType w:val="multilevel"/>
    <w:tmpl w:val="B2BC5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3C7843"/>
    <w:multiLevelType w:val="multilevel"/>
    <w:tmpl w:val="E3223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D854D6"/>
    <w:multiLevelType w:val="multilevel"/>
    <w:tmpl w:val="B9F0C8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DB52D0"/>
    <w:multiLevelType w:val="multilevel"/>
    <w:tmpl w:val="7CD0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56014">
    <w:abstractNumId w:val="16"/>
  </w:num>
  <w:num w:numId="2" w16cid:durableId="293143281">
    <w:abstractNumId w:val="6"/>
  </w:num>
  <w:num w:numId="3" w16cid:durableId="1814835083">
    <w:abstractNumId w:val="36"/>
    <w:lvlOverride w:ilvl="0">
      <w:lvl w:ilvl="0">
        <w:numFmt w:val="decimal"/>
        <w:lvlText w:val="%1."/>
        <w:lvlJc w:val="left"/>
      </w:lvl>
    </w:lvlOverride>
  </w:num>
  <w:num w:numId="4" w16cid:durableId="1351836536">
    <w:abstractNumId w:val="12"/>
  </w:num>
  <w:num w:numId="5" w16cid:durableId="762605919">
    <w:abstractNumId w:val="21"/>
    <w:lvlOverride w:ilvl="0">
      <w:lvl w:ilvl="0">
        <w:numFmt w:val="decimal"/>
        <w:lvlText w:val="%1."/>
        <w:lvlJc w:val="left"/>
      </w:lvl>
    </w:lvlOverride>
  </w:num>
  <w:num w:numId="6" w16cid:durableId="7947899">
    <w:abstractNumId w:val="5"/>
  </w:num>
  <w:num w:numId="7" w16cid:durableId="287706536">
    <w:abstractNumId w:val="10"/>
    <w:lvlOverride w:ilvl="0">
      <w:lvl w:ilvl="0">
        <w:numFmt w:val="decimal"/>
        <w:lvlText w:val="%1."/>
        <w:lvlJc w:val="left"/>
      </w:lvl>
    </w:lvlOverride>
  </w:num>
  <w:num w:numId="8" w16cid:durableId="570116356">
    <w:abstractNumId w:val="29"/>
  </w:num>
  <w:num w:numId="9" w16cid:durableId="462696872">
    <w:abstractNumId w:val="30"/>
    <w:lvlOverride w:ilvl="0">
      <w:lvl w:ilvl="0">
        <w:numFmt w:val="decimal"/>
        <w:lvlText w:val="%1."/>
        <w:lvlJc w:val="left"/>
      </w:lvl>
    </w:lvlOverride>
  </w:num>
  <w:num w:numId="10" w16cid:durableId="1905331405">
    <w:abstractNumId w:val="17"/>
  </w:num>
  <w:num w:numId="11" w16cid:durableId="27224651">
    <w:abstractNumId w:val="22"/>
  </w:num>
  <w:num w:numId="12" w16cid:durableId="1052577871">
    <w:abstractNumId w:val="1"/>
  </w:num>
  <w:num w:numId="13" w16cid:durableId="70350086">
    <w:abstractNumId w:val="32"/>
  </w:num>
  <w:num w:numId="14" w16cid:durableId="2067794901">
    <w:abstractNumId w:val="18"/>
    <w:lvlOverride w:ilvl="0">
      <w:lvl w:ilvl="0">
        <w:numFmt w:val="decimal"/>
        <w:lvlText w:val="%1."/>
        <w:lvlJc w:val="left"/>
      </w:lvl>
    </w:lvlOverride>
  </w:num>
  <w:num w:numId="15" w16cid:durableId="1515340367">
    <w:abstractNumId w:val="19"/>
    <w:lvlOverride w:ilvl="0">
      <w:lvl w:ilvl="0">
        <w:numFmt w:val="decimal"/>
        <w:lvlText w:val="%1."/>
        <w:lvlJc w:val="left"/>
      </w:lvl>
    </w:lvlOverride>
  </w:num>
  <w:num w:numId="16" w16cid:durableId="434180974">
    <w:abstractNumId w:val="35"/>
    <w:lvlOverride w:ilvl="0">
      <w:lvl w:ilvl="0">
        <w:numFmt w:val="decimal"/>
        <w:lvlText w:val="%1."/>
        <w:lvlJc w:val="left"/>
      </w:lvl>
    </w:lvlOverride>
  </w:num>
  <w:num w:numId="17" w16cid:durableId="227304646">
    <w:abstractNumId w:val="26"/>
  </w:num>
  <w:num w:numId="18" w16cid:durableId="662394823">
    <w:abstractNumId w:val="20"/>
  </w:num>
  <w:num w:numId="19" w16cid:durableId="1815021255">
    <w:abstractNumId w:val="13"/>
  </w:num>
  <w:num w:numId="20" w16cid:durableId="631326869">
    <w:abstractNumId w:val="11"/>
    <w:lvlOverride w:ilvl="0">
      <w:lvl w:ilvl="0">
        <w:numFmt w:val="decimal"/>
        <w:lvlText w:val="%1."/>
        <w:lvlJc w:val="left"/>
      </w:lvl>
    </w:lvlOverride>
  </w:num>
  <w:num w:numId="21" w16cid:durableId="1395543079">
    <w:abstractNumId w:val="9"/>
    <w:lvlOverride w:ilvl="0">
      <w:lvl w:ilvl="0">
        <w:numFmt w:val="decimal"/>
        <w:lvlText w:val="%1."/>
        <w:lvlJc w:val="left"/>
      </w:lvl>
    </w:lvlOverride>
  </w:num>
  <w:num w:numId="22" w16cid:durableId="1590969917">
    <w:abstractNumId w:val="39"/>
  </w:num>
  <w:num w:numId="23" w16cid:durableId="2038699802">
    <w:abstractNumId w:val="28"/>
  </w:num>
  <w:num w:numId="24" w16cid:durableId="2032101032">
    <w:abstractNumId w:val="38"/>
    <w:lvlOverride w:ilvl="0">
      <w:lvl w:ilvl="0">
        <w:numFmt w:val="decimal"/>
        <w:lvlText w:val="%1."/>
        <w:lvlJc w:val="left"/>
      </w:lvl>
    </w:lvlOverride>
  </w:num>
  <w:num w:numId="25" w16cid:durableId="483932885">
    <w:abstractNumId w:val="31"/>
  </w:num>
  <w:num w:numId="26" w16cid:durableId="1993410453">
    <w:abstractNumId w:val="15"/>
    <w:lvlOverride w:ilvl="0">
      <w:lvl w:ilvl="0">
        <w:numFmt w:val="decimal"/>
        <w:lvlText w:val="%1."/>
        <w:lvlJc w:val="left"/>
      </w:lvl>
    </w:lvlOverride>
  </w:num>
  <w:num w:numId="27" w16cid:durableId="1107695344">
    <w:abstractNumId w:val="0"/>
  </w:num>
  <w:num w:numId="28" w16cid:durableId="1490708119">
    <w:abstractNumId w:val="8"/>
  </w:num>
  <w:num w:numId="29" w16cid:durableId="1265381168">
    <w:abstractNumId w:val="2"/>
  </w:num>
  <w:num w:numId="30" w16cid:durableId="1478037272">
    <w:abstractNumId w:val="4"/>
    <w:lvlOverride w:ilvl="0">
      <w:lvl w:ilvl="0">
        <w:numFmt w:val="decimal"/>
        <w:lvlText w:val="%1."/>
        <w:lvlJc w:val="left"/>
      </w:lvl>
    </w:lvlOverride>
  </w:num>
  <w:num w:numId="31" w16cid:durableId="1733969596">
    <w:abstractNumId w:val="7"/>
  </w:num>
  <w:num w:numId="32" w16cid:durableId="1816869935">
    <w:abstractNumId w:val="34"/>
    <w:lvlOverride w:ilvl="0">
      <w:lvl w:ilvl="0">
        <w:numFmt w:val="decimal"/>
        <w:lvlText w:val="%1."/>
        <w:lvlJc w:val="left"/>
      </w:lvl>
    </w:lvlOverride>
  </w:num>
  <w:num w:numId="33" w16cid:durableId="2022048099">
    <w:abstractNumId w:val="3"/>
  </w:num>
  <w:num w:numId="34" w16cid:durableId="550383930">
    <w:abstractNumId w:val="23"/>
    <w:lvlOverride w:ilvl="0">
      <w:lvl w:ilvl="0">
        <w:numFmt w:val="decimal"/>
        <w:lvlText w:val="%1."/>
        <w:lvlJc w:val="left"/>
      </w:lvl>
    </w:lvlOverride>
  </w:num>
  <w:num w:numId="35" w16cid:durableId="393629183">
    <w:abstractNumId w:val="27"/>
  </w:num>
  <w:num w:numId="36" w16cid:durableId="989557953">
    <w:abstractNumId w:val="33"/>
  </w:num>
  <w:num w:numId="37" w16cid:durableId="975641699">
    <w:abstractNumId w:val="25"/>
  </w:num>
  <w:num w:numId="38" w16cid:durableId="147670326">
    <w:abstractNumId w:val="14"/>
  </w:num>
  <w:num w:numId="39" w16cid:durableId="1009782">
    <w:abstractNumId w:val="37"/>
  </w:num>
  <w:num w:numId="40" w16cid:durableId="87936398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EA"/>
    <w:rsid w:val="003F76EA"/>
    <w:rsid w:val="00497528"/>
    <w:rsid w:val="00745CC2"/>
    <w:rsid w:val="008543F8"/>
    <w:rsid w:val="00AD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473D3"/>
  <w15:chartTrackingRefBased/>
  <w15:docId w15:val="{388C7CC3-7D57-48DB-8E41-8C6EFE0E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6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6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6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6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6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6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6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6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6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6E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3F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F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F76E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76E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4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lanthology.org/2020.crac-1.11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eb.stanford.edu/~jurafsky/slp3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hyperlink" Target="https://www.ldc.upenn.edu/sites/www.ldc.upenn.edu/files/arabic-coreference-guideline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lanthology.org/2022.wanlp-1.2.pdf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2607</Words>
  <Characters>13035</Characters>
  <Application>Microsoft Office Word</Application>
  <DocSecurity>0</DocSecurity>
  <Lines>108</Lines>
  <Paragraphs>31</Paragraphs>
  <ScaleCrop>false</ScaleCrop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lis</dc:creator>
  <cp:keywords/>
  <dc:description/>
  <cp:lastModifiedBy>dina</cp:lastModifiedBy>
  <cp:revision>2</cp:revision>
  <dcterms:created xsi:type="dcterms:W3CDTF">2024-06-03T07:19:00Z</dcterms:created>
  <dcterms:modified xsi:type="dcterms:W3CDTF">2024-06-03T07:19:00Z</dcterms:modified>
</cp:coreProperties>
</file>